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108417A">
      <w:pPr>
        <w:jc w:val="center"/>
        <w:rPr>
          <w:rFonts w:hint="default" w:ascii="Times New Roman" w:hAnsi="Times New Roman" w:cs="Times New Roman"/>
          <w:b/>
          <w:bCs/>
        </w:rPr>
      </w:pPr>
      <w:r>
        <w:rPr>
          <w:rFonts w:hint="eastAsia" w:ascii="Times New Roman" w:hAnsi="Times New Roman" w:eastAsia="宋体" w:cs="Times New Roman"/>
          <w:b/>
          <w:bCs/>
          <w:sz w:val="30"/>
          <w:szCs w:val="30"/>
          <w:lang w:eastAsia="zh-CN"/>
        </w:rPr>
        <w:t>甘肃省百事兴药业有限公司</w:t>
      </w:r>
      <w:r>
        <w:rPr>
          <w:rFonts w:hint="default" w:ascii="Times New Roman" w:hAnsi="Times New Roman" w:eastAsia="宋体" w:cs="Times New Roman"/>
          <w:b/>
          <w:bCs/>
          <w:i w:val="0"/>
          <w:iCs w:val="0"/>
          <w:caps w:val="0"/>
          <w:color w:val="auto"/>
          <w:spacing w:val="0"/>
          <w:sz w:val="30"/>
          <w:szCs w:val="30"/>
          <w:shd w:val="clear" w:fill="FFFFFF"/>
        </w:rPr>
        <w:t>清洁生产审核</w:t>
      </w:r>
      <w:r>
        <w:rPr>
          <w:rFonts w:hint="default" w:ascii="Times New Roman" w:hAnsi="Times New Roman" w:eastAsia="宋体" w:cs="Times New Roman"/>
          <w:b/>
          <w:bCs/>
          <w:i w:val="0"/>
          <w:iCs w:val="0"/>
          <w:caps w:val="0"/>
          <w:color w:val="auto"/>
          <w:spacing w:val="0"/>
          <w:sz w:val="30"/>
          <w:szCs w:val="30"/>
          <w:shd w:val="clear" w:fill="FFFFFF"/>
          <w:lang w:val="en-US" w:eastAsia="zh-CN"/>
        </w:rPr>
        <w:t>信息</w:t>
      </w:r>
      <w:r>
        <w:rPr>
          <w:rFonts w:hint="default" w:ascii="Times New Roman" w:hAnsi="Times New Roman" w:eastAsia="宋体" w:cs="Times New Roman"/>
          <w:b/>
          <w:bCs/>
          <w:i w:val="0"/>
          <w:iCs w:val="0"/>
          <w:caps w:val="0"/>
          <w:color w:val="auto"/>
          <w:spacing w:val="0"/>
          <w:sz w:val="30"/>
          <w:szCs w:val="30"/>
          <w:shd w:val="clear" w:fill="FFFFFF"/>
        </w:rPr>
        <w:t>公示</w:t>
      </w:r>
    </w:p>
    <w:p w14:paraId="3CB74E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根据《中华人民共和国</w:t>
      </w:r>
      <w:r>
        <w:rPr>
          <w:rFonts w:hint="default" w:ascii="Times New Roman" w:hAnsi="Times New Roman" w:eastAsia="宋体" w:cs="Times New Roman"/>
          <w:sz w:val="24"/>
          <w:szCs w:val="24"/>
          <w:lang w:val="en-US" w:eastAsia="zh-CN"/>
        </w:rPr>
        <w:t>生态环境法典</w:t>
      </w:r>
      <w:r>
        <w:rPr>
          <w:rFonts w:hint="default" w:ascii="Times New Roman" w:hAnsi="Times New Roman" w:eastAsia="宋体" w:cs="Times New Roman"/>
          <w:sz w:val="24"/>
          <w:szCs w:val="24"/>
        </w:rPr>
        <w:t>》、《2026年兰州新区重点行业清洁生产审核企业名单</w:t>
      </w:r>
      <w:r>
        <w:rPr>
          <w:rFonts w:hint="eastAsia" w:ascii="Times New Roman" w:hAnsi="Times New Roman" w:eastAsia="宋体" w:cs="Times New Roman"/>
          <w:sz w:val="24"/>
          <w:szCs w:val="24"/>
          <w:lang w:val="en-US" w:eastAsia="zh-CN"/>
        </w:rPr>
        <w:t>的通知</w:t>
      </w:r>
      <w:r>
        <w:rPr>
          <w:rFonts w:hint="default" w:ascii="Times New Roman" w:hAnsi="Times New Roman" w:eastAsia="宋体" w:cs="Times New Roman"/>
          <w:sz w:val="24"/>
          <w:szCs w:val="24"/>
        </w:rPr>
        <w:t>》等相关文件规定，现将</w:t>
      </w:r>
      <w:r>
        <w:rPr>
          <w:rFonts w:hint="eastAsia" w:ascii="Times New Roman" w:hAnsi="Times New Roman" w:eastAsia="宋体" w:cs="Times New Roman"/>
          <w:sz w:val="24"/>
          <w:szCs w:val="24"/>
          <w:lang w:eastAsia="zh-CN"/>
        </w:rPr>
        <w:t>甘肃省百事兴药业有限公司</w:t>
      </w:r>
      <w:r>
        <w:rPr>
          <w:rFonts w:hint="default" w:ascii="Times New Roman" w:hAnsi="Times New Roman" w:eastAsia="宋体" w:cs="Times New Roman"/>
          <w:sz w:val="24"/>
          <w:szCs w:val="24"/>
        </w:rPr>
        <w:t>开展清洁生产审核事宜公告如下</w:t>
      </w:r>
      <w:r>
        <w:rPr>
          <w:rFonts w:hint="default" w:ascii="Times New Roman" w:hAnsi="Times New Roman" w:eastAsia="宋体" w:cs="Times New Roman"/>
          <w:sz w:val="24"/>
          <w:szCs w:val="24"/>
          <w:lang w:eastAsia="zh-CN"/>
        </w:rPr>
        <w:t>：</w:t>
      </w:r>
    </w:p>
    <w:p w14:paraId="0FA0F686">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一、基础信息</w:t>
      </w:r>
    </w:p>
    <w:p w14:paraId="6827C1B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1、企业名称</w:t>
      </w:r>
      <w:r>
        <w:rPr>
          <w:rFonts w:hint="default" w:ascii="Times New Roman" w:hAnsi="Times New Roman" w:eastAsia="宋体" w:cs="Times New Roman"/>
          <w:sz w:val="24"/>
          <w:szCs w:val="24"/>
          <w:lang w:eastAsia="zh-CN"/>
        </w:rPr>
        <w:t>：</w:t>
      </w:r>
      <w:r>
        <w:rPr>
          <w:rFonts w:hint="eastAsia" w:ascii="Times New Roman" w:hAnsi="Times New Roman" w:eastAsia="宋体" w:cs="Times New Roman"/>
          <w:sz w:val="24"/>
          <w:szCs w:val="24"/>
          <w:lang w:eastAsia="zh-CN"/>
        </w:rPr>
        <w:t>甘肃省百事兴药业有限公司</w:t>
      </w:r>
    </w:p>
    <w:p w14:paraId="07A9084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2、统一社会信用代码</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91620100MA71Y72G9W</w:t>
      </w:r>
    </w:p>
    <w:p w14:paraId="0212C4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3、法人代表</w:t>
      </w:r>
      <w:r>
        <w:rPr>
          <w:rFonts w:hint="default" w:ascii="Times New Roman" w:hAnsi="Times New Roman" w:eastAsia="宋体" w:cs="Times New Roman"/>
          <w:sz w:val="24"/>
          <w:szCs w:val="24"/>
          <w:lang w:eastAsia="zh-CN"/>
        </w:rPr>
        <w:t>：</w:t>
      </w:r>
      <w:r>
        <w:rPr>
          <w:rFonts w:hint="eastAsia" w:ascii="Times New Roman" w:hAnsi="Times New Roman" w:eastAsia="宋体" w:cs="Times New Roman"/>
          <w:sz w:val="24"/>
          <w:szCs w:val="24"/>
          <w:lang w:val="en-US" w:eastAsia="zh-CN"/>
        </w:rPr>
        <w:t>王刚</w:t>
      </w:r>
    </w:p>
    <w:p w14:paraId="65A652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4、地址</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甘肃省兰州市兰州新区淮河大道西段908号</w:t>
      </w:r>
    </w:p>
    <w:p w14:paraId="4CE78E8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lang w:val="en-US" w:eastAsia="zh-CN"/>
        </w:rPr>
        <w:t>、</w:t>
      </w:r>
      <w:r>
        <w:rPr>
          <w:rFonts w:hint="default" w:ascii="Times New Roman" w:hAnsi="Times New Roman" w:eastAsia="宋体" w:cs="Times New Roman"/>
          <w:sz w:val="24"/>
          <w:szCs w:val="24"/>
        </w:rPr>
        <w:t>产品和规模</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100吨/年N-芴甲氧羰基-L-丙氨酸、25吨/年芴甲氧羰基-天冬氨酸-4-叔丁脂、10吨/年Fmoc-N-三苯甲基-L-谷氨酰胺、50吨/年N-alpha-芴甲氧羰基-N-epsilon-叔丁氧羰基-L-赖氨酸（Fmoc-Lys（Boc）-OH）生产线</w:t>
      </w:r>
      <w:r>
        <w:rPr>
          <w:rFonts w:hint="default" w:ascii="Times New Roman" w:hAnsi="Times New Roman" w:eastAsia="宋体" w:cs="Times New Roman"/>
          <w:sz w:val="24"/>
          <w:szCs w:val="24"/>
        </w:rPr>
        <w:t>及其附属设施</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环保工程等</w:t>
      </w:r>
      <w:r>
        <w:rPr>
          <w:rFonts w:hint="default" w:ascii="Times New Roman" w:hAnsi="Times New Roman" w:eastAsia="宋体" w:cs="Times New Roman"/>
          <w:sz w:val="24"/>
          <w:szCs w:val="24"/>
        </w:rPr>
        <w:t>。</w:t>
      </w:r>
    </w:p>
    <w:p w14:paraId="7134BED8">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rPr>
        <w:t>二、</w:t>
      </w:r>
      <w:r>
        <w:rPr>
          <w:rFonts w:hint="default" w:ascii="Times New Roman" w:hAnsi="Times New Roman" w:eastAsia="宋体" w:cs="Times New Roman"/>
          <w:b/>
          <w:bCs/>
          <w:sz w:val="24"/>
          <w:szCs w:val="24"/>
          <w:lang w:val="en-US" w:eastAsia="zh-CN"/>
        </w:rPr>
        <w:t>污染物治理及</w:t>
      </w:r>
      <w:r>
        <w:rPr>
          <w:rFonts w:hint="default" w:ascii="Times New Roman" w:hAnsi="Times New Roman" w:eastAsia="宋体" w:cs="Times New Roman"/>
          <w:b/>
          <w:bCs/>
          <w:sz w:val="24"/>
          <w:szCs w:val="24"/>
        </w:rPr>
        <w:t>执行标准</w:t>
      </w:r>
    </w:p>
    <w:p w14:paraId="43F014EE">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z w:val="24"/>
          <w:szCs w:val="24"/>
          <w:lang w:eastAsia="zh-CN"/>
        </w:rPr>
      </w:pPr>
      <w:r>
        <w:rPr>
          <w:rFonts w:hint="default" w:ascii="Times New Roman" w:hAnsi="Times New Roman" w:eastAsia="宋体" w:cs="Times New Roman"/>
          <w:b/>
          <w:bCs/>
          <w:sz w:val="24"/>
          <w:szCs w:val="24"/>
        </w:rPr>
        <w:t>1、废气</w:t>
      </w:r>
    </w:p>
    <w:p w14:paraId="2C0AC1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lang w:val="en-US" w:eastAsia="zh-CN"/>
        </w:rPr>
        <w:t>含颗粒物废气：经干燥设备自带除尘预处理后并入RTO系统（一级碱喷淋（自带除雾）+RTO+急冷+一级碱喷淋（自带除雾）+活性炭，设置30m高DA001排气筒）；</w:t>
      </w:r>
    </w:p>
    <w:p w14:paraId="2CA3A2A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eastAsia"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lang w:val="en-US" w:eastAsia="zh-CN"/>
        </w:rPr>
        <w:t>其它生产线工艺废气及高盐废水蒸发不凝气：经一套一级碱喷淋，处理后并入RTO系统（一级碱喷淋（自带除雾）+RTO+急冷+一级碱喷淋（自带除雾）+活性炭，设置30m高DA001排气筒）；</w:t>
      </w:r>
    </w:p>
    <w:p w14:paraId="285B839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（3）危险废物库房废气经活性炭吸附处理后经26m高DA002排气筒排放；</w:t>
      </w:r>
    </w:p>
    <w:p w14:paraId="0FB96C9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szCs w:val="24"/>
          <w:lang w:val="en-US" w:eastAsia="zh-CN"/>
        </w:rPr>
      </w:pPr>
      <w:r>
        <w:rPr>
          <w:rFonts w:hint="eastAsia" w:ascii="Times New Roman" w:hAnsi="Times New Roman" w:eastAsia="宋体" w:cs="Times New Roman"/>
          <w:sz w:val="24"/>
          <w:szCs w:val="24"/>
          <w:lang w:val="en-US" w:eastAsia="zh-CN"/>
        </w:rPr>
        <w:t>（4）污水处理站废气经一级酸喷淋+一级碱喷淋+活性炭吸附处理后经26m高DA002排气筒排放；</w:t>
      </w:r>
    </w:p>
    <w:p w14:paraId="54052559">
      <w:pPr>
        <w:keepNext w:val="0"/>
        <w:keepLines w:val="0"/>
        <w:pageBreakBefore w:val="0"/>
        <w:widowControl/>
        <w:kinsoku/>
        <w:wordWrap/>
        <w:overflowPunct/>
        <w:topLinePunct w:val="0"/>
        <w:autoSpaceDE/>
        <w:autoSpaceDN/>
        <w:bidi w:val="0"/>
        <w:adjustRightInd/>
        <w:snapToGrid/>
        <w:spacing w:after="0" w:line="360" w:lineRule="auto"/>
        <w:ind w:left="0" w:leftChars="0" w:right="0" w:firstLine="426" w:firstLineChars="183"/>
        <w:jc w:val="center"/>
        <w:textAlignment w:val="baseline"/>
        <w:outlineLvl w:val="9"/>
        <w:rPr>
          <w:rFonts w:hint="default" w:ascii="Times New Roman" w:hAnsi="Times New Roman" w:eastAsia="仿宋" w:cs="Times New Roman"/>
          <w:b/>
          <w:bCs/>
          <w:color w:val="auto"/>
          <w:spacing w:val="-4"/>
          <w:kern w:val="2"/>
          <w:sz w:val="24"/>
          <w:szCs w:val="21"/>
          <w:lang w:val="en-US" w:eastAsia="zh-CN" w:bidi="ar-SA"/>
        </w:rPr>
      </w:pPr>
      <w:r>
        <w:rPr>
          <w:rFonts w:hint="default" w:ascii="Times New Roman" w:hAnsi="Times New Roman" w:eastAsia="仿宋" w:cs="Times New Roman"/>
          <w:b/>
          <w:bCs/>
          <w:color w:val="auto"/>
          <w:spacing w:val="-4"/>
          <w:kern w:val="2"/>
          <w:sz w:val="24"/>
          <w:szCs w:val="21"/>
          <w:lang w:val="en-US" w:eastAsia="zh-CN" w:bidi="ar-SA"/>
        </w:rPr>
        <w:t>有组织大气污染物排放标准</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8"/>
        <w:gridCol w:w="1148"/>
        <w:gridCol w:w="113"/>
        <w:gridCol w:w="1389"/>
        <w:gridCol w:w="1640"/>
        <w:gridCol w:w="1301"/>
        <w:gridCol w:w="3179"/>
      </w:tblGrid>
      <w:tr w14:paraId="71999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7"/>
            <w:tcBorders>
              <w:tl2br w:val="nil"/>
              <w:tr2bl w:val="nil"/>
            </w:tcBorders>
            <w:noWrap w:val="0"/>
            <w:vAlign w:val="center"/>
          </w:tcPr>
          <w:p w14:paraId="17E24783">
            <w:pPr>
              <w:widowControl/>
              <w:adjustRightInd/>
              <w:snapToGrid/>
              <w:spacing w:before="0" w:beforeAutospacing="0" w:after="0" w:afterAutospacing="0" w:line="240" w:lineRule="auto"/>
              <w:ind w:left="0" w:right="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1#排气筒（RTO排气筒）</w:t>
            </w:r>
          </w:p>
        </w:tc>
      </w:tr>
      <w:tr w14:paraId="3F704B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9" w:type="pct"/>
            <w:vMerge w:val="restart"/>
            <w:tcBorders>
              <w:tl2br w:val="nil"/>
              <w:tr2bl w:val="nil"/>
            </w:tcBorders>
            <w:noWrap w:val="0"/>
            <w:vAlign w:val="center"/>
          </w:tcPr>
          <w:p w14:paraId="2F4157A0">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序号</w:t>
            </w:r>
          </w:p>
        </w:tc>
        <w:tc>
          <w:tcPr>
            <w:tcW w:w="618" w:type="pct"/>
            <w:vMerge w:val="restart"/>
            <w:tcBorders>
              <w:tl2br w:val="nil"/>
              <w:tr2bl w:val="nil"/>
            </w:tcBorders>
            <w:noWrap w:val="0"/>
            <w:vAlign w:val="center"/>
          </w:tcPr>
          <w:p w14:paraId="52B44D61">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污染物</w:t>
            </w:r>
          </w:p>
          <w:p w14:paraId="680AAF32">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名称</w:t>
            </w:r>
          </w:p>
        </w:tc>
        <w:tc>
          <w:tcPr>
            <w:tcW w:w="2392" w:type="pct"/>
            <w:gridSpan w:val="4"/>
            <w:tcBorders>
              <w:tl2br w:val="nil"/>
              <w:tr2bl w:val="nil"/>
            </w:tcBorders>
            <w:noWrap w:val="0"/>
            <w:vAlign w:val="center"/>
          </w:tcPr>
          <w:p w14:paraId="3C99FD9D">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排放标准限值</w:t>
            </w:r>
          </w:p>
        </w:tc>
        <w:tc>
          <w:tcPr>
            <w:tcW w:w="1710" w:type="pct"/>
            <w:vMerge w:val="restart"/>
            <w:tcBorders>
              <w:tl2br w:val="nil"/>
              <w:tr2bl w:val="nil"/>
            </w:tcBorders>
            <w:noWrap w:val="0"/>
            <w:vAlign w:val="center"/>
          </w:tcPr>
          <w:p w14:paraId="39AAD69B">
            <w:pPr>
              <w:widowControl/>
              <w:adjustRightInd/>
              <w:snapToGrid/>
              <w:spacing w:before="0" w:beforeAutospacing="0" w:after="0" w:afterAutospacing="0" w:line="240" w:lineRule="auto"/>
              <w:ind w:left="0" w:right="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执行标准</w:t>
            </w:r>
          </w:p>
        </w:tc>
      </w:tr>
      <w:tr w14:paraId="103EA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9" w:type="pct"/>
            <w:vMerge w:val="continue"/>
            <w:tcBorders>
              <w:tl2br w:val="nil"/>
              <w:tr2bl w:val="nil"/>
            </w:tcBorders>
            <w:noWrap w:val="0"/>
            <w:vAlign w:val="center"/>
          </w:tcPr>
          <w:p w14:paraId="3B0FC7F8">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p>
        </w:tc>
        <w:tc>
          <w:tcPr>
            <w:tcW w:w="618" w:type="pct"/>
            <w:vMerge w:val="continue"/>
            <w:tcBorders>
              <w:tl2br w:val="nil"/>
              <w:tr2bl w:val="nil"/>
            </w:tcBorders>
            <w:noWrap w:val="0"/>
            <w:vAlign w:val="center"/>
          </w:tcPr>
          <w:p w14:paraId="79E66045">
            <w:pPr>
              <w:widowControl/>
              <w:adjustRightInd/>
              <w:snapToGrid/>
              <w:spacing w:before="0" w:beforeAutospacing="0" w:after="0" w:afterAutospacing="0" w:line="240" w:lineRule="auto"/>
              <w:ind w:left="0" w:right="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p>
        </w:tc>
        <w:tc>
          <w:tcPr>
            <w:tcW w:w="809" w:type="pct"/>
            <w:gridSpan w:val="2"/>
            <w:tcBorders>
              <w:tl2br w:val="nil"/>
              <w:tr2bl w:val="nil"/>
            </w:tcBorders>
            <w:noWrap w:val="0"/>
            <w:vAlign w:val="center"/>
          </w:tcPr>
          <w:p w14:paraId="2BE7E03C">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浓度（mg/m</w:t>
            </w:r>
            <w:r>
              <w:rPr>
                <w:rFonts w:hint="default" w:ascii="Times New Roman" w:hAnsi="Times New Roman" w:eastAsia="仿宋" w:cs="Times New Roman"/>
                <w:b/>
                <w:bCs w:val="0"/>
                <w:color w:val="auto"/>
                <w:spacing w:val="-4"/>
                <w:kern w:val="0"/>
                <w:sz w:val="21"/>
                <w:szCs w:val="21"/>
                <w:highlight w:val="none"/>
                <w:vertAlign w:val="superscript"/>
                <w:lang w:val="en-US" w:eastAsia="zh-CN"/>
              </w:rPr>
              <w:t>3</w:t>
            </w:r>
            <w:r>
              <w:rPr>
                <w:rFonts w:hint="default" w:ascii="Times New Roman" w:hAnsi="Times New Roman" w:eastAsia="仿宋" w:cs="Times New Roman"/>
                <w:b/>
                <w:bCs w:val="0"/>
                <w:color w:val="auto"/>
                <w:spacing w:val="-4"/>
                <w:kern w:val="0"/>
                <w:sz w:val="21"/>
                <w:szCs w:val="21"/>
                <w:highlight w:val="none"/>
                <w:lang w:val="en-US" w:eastAsia="zh-CN"/>
              </w:rPr>
              <w:t>）</w:t>
            </w:r>
          </w:p>
        </w:tc>
        <w:tc>
          <w:tcPr>
            <w:tcW w:w="883" w:type="pct"/>
            <w:tcBorders>
              <w:tl2br w:val="nil"/>
              <w:tr2bl w:val="nil"/>
            </w:tcBorders>
            <w:noWrap w:val="0"/>
            <w:vAlign w:val="center"/>
          </w:tcPr>
          <w:p w14:paraId="6745E88E">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排气筒高度（m）</w:t>
            </w:r>
          </w:p>
        </w:tc>
        <w:tc>
          <w:tcPr>
            <w:tcW w:w="699" w:type="pct"/>
            <w:tcBorders>
              <w:tl2br w:val="nil"/>
              <w:tr2bl w:val="nil"/>
            </w:tcBorders>
            <w:noWrap w:val="0"/>
            <w:vAlign w:val="center"/>
          </w:tcPr>
          <w:p w14:paraId="7479CF83">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速率（</w:t>
            </w:r>
            <w:r>
              <w:rPr>
                <w:rFonts w:hint="default" w:ascii="Times New Roman" w:hAnsi="Times New Roman" w:eastAsia="仿宋" w:cs="Times New Roman"/>
                <w:b/>
                <w:bCs w:val="0"/>
                <w:i w:val="0"/>
                <w:caps w:val="0"/>
                <w:color w:val="auto"/>
                <w:kern w:val="0"/>
                <w:sz w:val="21"/>
                <w:szCs w:val="21"/>
                <w:highlight w:val="none"/>
                <w:u w:val="none"/>
                <w:lang w:val="en-US" w:eastAsia="zh-CN"/>
              </w:rPr>
              <w:t>kg/h</w:t>
            </w:r>
            <w:r>
              <w:rPr>
                <w:rFonts w:hint="default" w:ascii="Times New Roman" w:hAnsi="Times New Roman" w:eastAsia="仿宋" w:cs="Times New Roman"/>
                <w:b/>
                <w:bCs w:val="0"/>
                <w:color w:val="auto"/>
                <w:spacing w:val="-4"/>
                <w:kern w:val="0"/>
                <w:sz w:val="21"/>
                <w:szCs w:val="21"/>
                <w:highlight w:val="none"/>
                <w:lang w:val="en-US" w:eastAsia="zh-CN"/>
              </w:rPr>
              <w:t>）</w:t>
            </w:r>
          </w:p>
        </w:tc>
        <w:tc>
          <w:tcPr>
            <w:tcW w:w="1710" w:type="pct"/>
            <w:vMerge w:val="continue"/>
            <w:tcBorders>
              <w:tl2br w:val="nil"/>
              <w:tr2bl w:val="nil"/>
            </w:tcBorders>
            <w:noWrap w:val="0"/>
            <w:vAlign w:val="center"/>
          </w:tcPr>
          <w:p w14:paraId="2713ECE6">
            <w:pPr>
              <w:widowControl/>
              <w:adjustRightInd/>
              <w:snapToGrid/>
              <w:spacing w:before="0" w:beforeAutospacing="0" w:after="0" w:afterAutospacing="0" w:line="240" w:lineRule="auto"/>
              <w:ind w:left="0" w:right="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p>
        </w:tc>
      </w:tr>
      <w:tr w14:paraId="66121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9" w:type="pct"/>
            <w:tcBorders>
              <w:tl2br w:val="nil"/>
              <w:tr2bl w:val="nil"/>
            </w:tcBorders>
            <w:noWrap w:val="0"/>
            <w:vAlign w:val="center"/>
          </w:tcPr>
          <w:p w14:paraId="7493B7A4">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bidi="ar-SA"/>
              </w:rPr>
            </w:pPr>
            <w:r>
              <w:rPr>
                <w:rFonts w:hint="default" w:ascii="Times New Roman" w:hAnsi="Times New Roman" w:eastAsia="仿宋" w:cs="Times New Roman"/>
                <w:b w:val="0"/>
                <w:bCs/>
                <w:color w:val="auto"/>
                <w:spacing w:val="-4"/>
                <w:kern w:val="0"/>
                <w:sz w:val="21"/>
                <w:szCs w:val="21"/>
                <w:highlight w:val="none"/>
                <w:lang w:val="en-US" w:eastAsia="zh-CN"/>
              </w:rPr>
              <w:t>1</w:t>
            </w:r>
          </w:p>
        </w:tc>
        <w:tc>
          <w:tcPr>
            <w:tcW w:w="618" w:type="pct"/>
            <w:tcBorders>
              <w:tl2br w:val="nil"/>
              <w:tr2bl w:val="nil"/>
            </w:tcBorders>
            <w:noWrap w:val="0"/>
            <w:vAlign w:val="center"/>
          </w:tcPr>
          <w:p w14:paraId="1125B0B9">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颗粒物</w:t>
            </w:r>
          </w:p>
        </w:tc>
        <w:tc>
          <w:tcPr>
            <w:tcW w:w="809" w:type="pct"/>
            <w:gridSpan w:val="2"/>
            <w:tcBorders>
              <w:tl2br w:val="nil"/>
              <w:tr2bl w:val="nil"/>
            </w:tcBorders>
            <w:noWrap w:val="0"/>
            <w:vAlign w:val="center"/>
          </w:tcPr>
          <w:p w14:paraId="60F25035">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20</w:t>
            </w:r>
          </w:p>
        </w:tc>
        <w:tc>
          <w:tcPr>
            <w:tcW w:w="883" w:type="pct"/>
            <w:vMerge w:val="restart"/>
            <w:tcBorders>
              <w:tl2br w:val="nil"/>
              <w:tr2bl w:val="nil"/>
            </w:tcBorders>
            <w:noWrap w:val="0"/>
            <w:vAlign w:val="center"/>
          </w:tcPr>
          <w:p w14:paraId="514A8F36">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30</w:t>
            </w:r>
          </w:p>
        </w:tc>
        <w:tc>
          <w:tcPr>
            <w:tcW w:w="699" w:type="pct"/>
            <w:tcBorders>
              <w:tl2br w:val="nil"/>
              <w:tr2bl w:val="nil"/>
            </w:tcBorders>
            <w:noWrap w:val="0"/>
            <w:vAlign w:val="center"/>
          </w:tcPr>
          <w:p w14:paraId="5FF7D87A">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w:t>
            </w:r>
          </w:p>
        </w:tc>
        <w:tc>
          <w:tcPr>
            <w:tcW w:w="1710" w:type="pct"/>
            <w:vMerge w:val="restart"/>
            <w:tcBorders>
              <w:tl2br w:val="nil"/>
              <w:tr2bl w:val="nil"/>
            </w:tcBorders>
            <w:noWrap w:val="0"/>
            <w:vAlign w:val="center"/>
          </w:tcPr>
          <w:p w14:paraId="62BCF993">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aps w:val="0"/>
                <w:color w:val="auto"/>
                <w:spacing w:val="-4"/>
                <w:kern w:val="0"/>
                <w:sz w:val="21"/>
                <w:szCs w:val="21"/>
                <w:highlight w:val="none"/>
                <w:lang w:val="en-US" w:eastAsia="zh-CN"/>
              </w:rPr>
            </w:pPr>
            <w:r>
              <w:rPr>
                <w:rFonts w:hint="default" w:ascii="Times New Roman" w:hAnsi="Times New Roman" w:eastAsia="仿宋" w:cs="Times New Roman"/>
                <w:b w:val="0"/>
                <w:bCs/>
                <w:caps w:val="0"/>
                <w:color w:val="auto"/>
                <w:spacing w:val="-4"/>
                <w:kern w:val="0"/>
                <w:sz w:val="21"/>
                <w:szCs w:val="21"/>
                <w:highlight w:val="none"/>
                <w:lang w:val="en-US" w:eastAsia="zh-CN"/>
              </w:rPr>
              <w:t>《制药工业大气污染物排放标准》（GB 37823—2019）表2</w:t>
            </w:r>
          </w:p>
        </w:tc>
      </w:tr>
      <w:tr w14:paraId="30C2B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9" w:type="pct"/>
            <w:tcBorders>
              <w:tl2br w:val="nil"/>
              <w:tr2bl w:val="nil"/>
            </w:tcBorders>
            <w:noWrap w:val="0"/>
            <w:vAlign w:val="center"/>
          </w:tcPr>
          <w:p w14:paraId="1BA9758F">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bidi="ar-SA"/>
              </w:rPr>
            </w:pPr>
            <w:r>
              <w:rPr>
                <w:rFonts w:hint="default" w:ascii="Times New Roman" w:hAnsi="Times New Roman" w:eastAsia="仿宋" w:cs="Times New Roman"/>
                <w:b w:val="0"/>
                <w:bCs/>
                <w:color w:val="auto"/>
                <w:spacing w:val="-4"/>
                <w:kern w:val="0"/>
                <w:sz w:val="21"/>
                <w:szCs w:val="21"/>
                <w:highlight w:val="none"/>
                <w:lang w:val="en-US" w:eastAsia="zh-CN"/>
              </w:rPr>
              <w:t>2</w:t>
            </w:r>
          </w:p>
        </w:tc>
        <w:tc>
          <w:tcPr>
            <w:tcW w:w="618" w:type="pct"/>
            <w:tcBorders>
              <w:tl2br w:val="nil"/>
              <w:tr2bl w:val="nil"/>
            </w:tcBorders>
            <w:noWrap w:val="0"/>
            <w:vAlign w:val="center"/>
          </w:tcPr>
          <w:p w14:paraId="71FCE001">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NMHC</w:t>
            </w:r>
          </w:p>
        </w:tc>
        <w:tc>
          <w:tcPr>
            <w:tcW w:w="809" w:type="pct"/>
            <w:gridSpan w:val="2"/>
            <w:tcBorders>
              <w:tl2br w:val="nil"/>
              <w:tr2bl w:val="nil"/>
            </w:tcBorders>
            <w:noWrap w:val="0"/>
            <w:vAlign w:val="center"/>
          </w:tcPr>
          <w:p w14:paraId="23EE0FB1">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60</w:t>
            </w:r>
          </w:p>
        </w:tc>
        <w:tc>
          <w:tcPr>
            <w:tcW w:w="883" w:type="pct"/>
            <w:vMerge w:val="continue"/>
            <w:tcBorders>
              <w:tl2br w:val="nil"/>
              <w:tr2bl w:val="nil"/>
            </w:tcBorders>
            <w:noWrap w:val="0"/>
            <w:vAlign w:val="center"/>
          </w:tcPr>
          <w:p w14:paraId="52674C5B">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c>
          <w:tcPr>
            <w:tcW w:w="699" w:type="pct"/>
            <w:tcBorders>
              <w:tl2br w:val="nil"/>
              <w:tr2bl w:val="nil"/>
            </w:tcBorders>
            <w:noWrap w:val="0"/>
            <w:vAlign w:val="center"/>
          </w:tcPr>
          <w:p w14:paraId="72AEB253">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w:t>
            </w:r>
          </w:p>
        </w:tc>
        <w:tc>
          <w:tcPr>
            <w:tcW w:w="1710" w:type="pct"/>
            <w:vMerge w:val="continue"/>
            <w:tcBorders>
              <w:tl2br w:val="nil"/>
              <w:tr2bl w:val="nil"/>
            </w:tcBorders>
            <w:noWrap w:val="0"/>
            <w:vAlign w:val="center"/>
          </w:tcPr>
          <w:p w14:paraId="6D2B4528">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r>
      <w:tr w14:paraId="5C5D23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9" w:type="pct"/>
            <w:tcBorders>
              <w:tl2br w:val="nil"/>
              <w:tr2bl w:val="nil"/>
            </w:tcBorders>
            <w:noWrap w:val="0"/>
            <w:vAlign w:val="center"/>
          </w:tcPr>
          <w:p w14:paraId="2095AF8A">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bidi="ar-SA"/>
              </w:rPr>
            </w:pPr>
            <w:r>
              <w:rPr>
                <w:rFonts w:hint="default" w:ascii="Times New Roman" w:hAnsi="Times New Roman" w:eastAsia="仿宋" w:cs="Times New Roman"/>
                <w:b w:val="0"/>
                <w:bCs/>
                <w:color w:val="auto"/>
                <w:spacing w:val="-4"/>
                <w:kern w:val="0"/>
                <w:sz w:val="21"/>
                <w:szCs w:val="21"/>
                <w:highlight w:val="none"/>
                <w:lang w:val="en-US" w:eastAsia="zh-CN"/>
              </w:rPr>
              <w:t>3</w:t>
            </w:r>
          </w:p>
        </w:tc>
        <w:tc>
          <w:tcPr>
            <w:tcW w:w="618" w:type="pct"/>
            <w:tcBorders>
              <w:tl2br w:val="nil"/>
              <w:tr2bl w:val="nil"/>
            </w:tcBorders>
            <w:noWrap w:val="0"/>
            <w:vAlign w:val="center"/>
          </w:tcPr>
          <w:p w14:paraId="778B8636">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氯化氢</w:t>
            </w:r>
          </w:p>
        </w:tc>
        <w:tc>
          <w:tcPr>
            <w:tcW w:w="809" w:type="pct"/>
            <w:gridSpan w:val="2"/>
            <w:tcBorders>
              <w:tl2br w:val="nil"/>
              <w:tr2bl w:val="nil"/>
            </w:tcBorders>
            <w:noWrap w:val="0"/>
            <w:vAlign w:val="center"/>
          </w:tcPr>
          <w:p w14:paraId="5845C633">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30</w:t>
            </w:r>
          </w:p>
        </w:tc>
        <w:tc>
          <w:tcPr>
            <w:tcW w:w="883" w:type="pct"/>
            <w:vMerge w:val="continue"/>
            <w:tcBorders>
              <w:tl2br w:val="nil"/>
              <w:tr2bl w:val="nil"/>
            </w:tcBorders>
            <w:noWrap w:val="0"/>
            <w:vAlign w:val="center"/>
          </w:tcPr>
          <w:p w14:paraId="3CCBE9C1">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c>
          <w:tcPr>
            <w:tcW w:w="699" w:type="pct"/>
            <w:tcBorders>
              <w:tl2br w:val="nil"/>
              <w:tr2bl w:val="nil"/>
            </w:tcBorders>
            <w:noWrap w:val="0"/>
            <w:vAlign w:val="center"/>
          </w:tcPr>
          <w:p w14:paraId="04F37672">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w:t>
            </w:r>
          </w:p>
        </w:tc>
        <w:tc>
          <w:tcPr>
            <w:tcW w:w="1710" w:type="pct"/>
            <w:vMerge w:val="continue"/>
            <w:tcBorders>
              <w:tl2br w:val="nil"/>
              <w:tr2bl w:val="nil"/>
            </w:tcBorders>
            <w:noWrap w:val="0"/>
            <w:vAlign w:val="center"/>
          </w:tcPr>
          <w:p w14:paraId="6DD80482">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r>
      <w:tr w14:paraId="00CB6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9" w:type="pct"/>
            <w:tcBorders>
              <w:tl2br w:val="nil"/>
              <w:tr2bl w:val="nil"/>
            </w:tcBorders>
            <w:noWrap w:val="0"/>
            <w:vAlign w:val="center"/>
          </w:tcPr>
          <w:p w14:paraId="105A4F7B">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bookmarkStart w:id="0" w:name="OLE_LINK282"/>
            <w:bookmarkStart w:id="1" w:name="OLE_LINK296" w:colFirst="0" w:colLast="1"/>
            <w:r>
              <w:rPr>
                <w:rFonts w:hint="default" w:ascii="Times New Roman" w:hAnsi="Times New Roman" w:eastAsia="仿宋" w:cs="Times New Roman"/>
                <w:b w:val="0"/>
                <w:bCs/>
                <w:color w:val="auto"/>
                <w:spacing w:val="-4"/>
                <w:kern w:val="0"/>
                <w:sz w:val="21"/>
                <w:szCs w:val="21"/>
                <w:highlight w:val="none"/>
                <w:lang w:val="en-US" w:eastAsia="zh-CN"/>
              </w:rPr>
              <w:t>4</w:t>
            </w:r>
          </w:p>
        </w:tc>
        <w:tc>
          <w:tcPr>
            <w:tcW w:w="618" w:type="pct"/>
            <w:tcBorders>
              <w:tl2br w:val="nil"/>
              <w:tr2bl w:val="nil"/>
            </w:tcBorders>
            <w:noWrap w:val="0"/>
            <w:vAlign w:val="center"/>
          </w:tcPr>
          <w:p w14:paraId="7936218D">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硫化氢</w:t>
            </w:r>
          </w:p>
        </w:tc>
        <w:tc>
          <w:tcPr>
            <w:tcW w:w="809" w:type="pct"/>
            <w:gridSpan w:val="2"/>
            <w:tcBorders>
              <w:tl2br w:val="nil"/>
              <w:tr2bl w:val="nil"/>
            </w:tcBorders>
            <w:noWrap w:val="0"/>
            <w:vAlign w:val="center"/>
          </w:tcPr>
          <w:p w14:paraId="32A71BEC">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5</w:t>
            </w:r>
          </w:p>
        </w:tc>
        <w:tc>
          <w:tcPr>
            <w:tcW w:w="883" w:type="pct"/>
            <w:vMerge w:val="continue"/>
            <w:tcBorders>
              <w:tl2br w:val="nil"/>
              <w:tr2bl w:val="nil"/>
            </w:tcBorders>
            <w:noWrap w:val="0"/>
            <w:vAlign w:val="center"/>
          </w:tcPr>
          <w:p w14:paraId="78ADB67C">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c>
          <w:tcPr>
            <w:tcW w:w="699" w:type="pct"/>
            <w:tcBorders>
              <w:tl2br w:val="nil"/>
              <w:tr2bl w:val="nil"/>
            </w:tcBorders>
            <w:noWrap w:val="0"/>
            <w:vAlign w:val="center"/>
          </w:tcPr>
          <w:p w14:paraId="0C14FBFA">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2"/>
                <w:sz w:val="21"/>
                <w:szCs w:val="21"/>
                <w:highlight w:val="none"/>
                <w:lang w:val="en-US" w:eastAsia="zh-CN" w:bidi="ar-SA"/>
              </w:rPr>
            </w:pPr>
            <w:r>
              <w:rPr>
                <w:rFonts w:hint="default" w:ascii="Times New Roman" w:hAnsi="Times New Roman" w:eastAsia="仿宋" w:cs="Times New Roman"/>
                <w:b w:val="0"/>
                <w:bCs/>
                <w:color w:val="auto"/>
                <w:spacing w:val="-4"/>
                <w:kern w:val="0"/>
                <w:sz w:val="21"/>
                <w:szCs w:val="21"/>
                <w:highlight w:val="none"/>
                <w:lang w:val="en-US" w:eastAsia="zh-CN"/>
              </w:rPr>
              <w:t>/</w:t>
            </w:r>
          </w:p>
        </w:tc>
        <w:tc>
          <w:tcPr>
            <w:tcW w:w="1710" w:type="pct"/>
            <w:vMerge w:val="continue"/>
            <w:tcBorders>
              <w:tl2br w:val="nil"/>
              <w:tr2bl w:val="nil"/>
            </w:tcBorders>
            <w:noWrap w:val="0"/>
            <w:vAlign w:val="center"/>
          </w:tcPr>
          <w:p w14:paraId="7BBD1231">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r>
      <w:tr w14:paraId="19011F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9" w:type="pct"/>
            <w:tcBorders>
              <w:tl2br w:val="nil"/>
              <w:tr2bl w:val="nil"/>
            </w:tcBorders>
            <w:noWrap w:val="0"/>
            <w:vAlign w:val="center"/>
          </w:tcPr>
          <w:p w14:paraId="578D2E1D">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5</w:t>
            </w:r>
          </w:p>
        </w:tc>
        <w:tc>
          <w:tcPr>
            <w:tcW w:w="618" w:type="pct"/>
            <w:tcBorders>
              <w:tl2br w:val="nil"/>
              <w:tr2bl w:val="nil"/>
            </w:tcBorders>
            <w:noWrap w:val="0"/>
            <w:vAlign w:val="center"/>
          </w:tcPr>
          <w:p w14:paraId="662FA022">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二氧化硫</w:t>
            </w:r>
          </w:p>
        </w:tc>
        <w:tc>
          <w:tcPr>
            <w:tcW w:w="809" w:type="pct"/>
            <w:gridSpan w:val="2"/>
            <w:tcBorders>
              <w:tl2br w:val="nil"/>
              <w:tr2bl w:val="nil"/>
            </w:tcBorders>
            <w:noWrap w:val="0"/>
            <w:vAlign w:val="center"/>
          </w:tcPr>
          <w:p w14:paraId="417BDC64">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200</w:t>
            </w:r>
          </w:p>
        </w:tc>
        <w:tc>
          <w:tcPr>
            <w:tcW w:w="883" w:type="pct"/>
            <w:vMerge w:val="continue"/>
            <w:tcBorders>
              <w:tl2br w:val="nil"/>
              <w:tr2bl w:val="nil"/>
            </w:tcBorders>
            <w:noWrap w:val="0"/>
            <w:vAlign w:val="center"/>
          </w:tcPr>
          <w:p w14:paraId="0C9247D5">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c>
          <w:tcPr>
            <w:tcW w:w="699" w:type="pct"/>
            <w:tcBorders>
              <w:tl2br w:val="nil"/>
              <w:tr2bl w:val="nil"/>
            </w:tcBorders>
            <w:noWrap w:val="0"/>
            <w:vAlign w:val="center"/>
          </w:tcPr>
          <w:p w14:paraId="30F1DA56">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w:t>
            </w:r>
          </w:p>
        </w:tc>
        <w:tc>
          <w:tcPr>
            <w:tcW w:w="1710" w:type="pct"/>
            <w:vMerge w:val="restart"/>
            <w:tcBorders>
              <w:tl2br w:val="nil"/>
              <w:tr2bl w:val="nil"/>
            </w:tcBorders>
            <w:noWrap w:val="0"/>
            <w:vAlign w:val="center"/>
          </w:tcPr>
          <w:p w14:paraId="4B1283B2">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aps w:val="0"/>
                <w:color w:val="auto"/>
                <w:spacing w:val="-4"/>
                <w:kern w:val="0"/>
                <w:sz w:val="21"/>
                <w:szCs w:val="21"/>
                <w:highlight w:val="none"/>
                <w:lang w:val="en-US" w:eastAsia="zh-CN"/>
              </w:rPr>
              <w:t>《制药工业大气污染物排放标准》（GB 37823—2019）表3</w:t>
            </w:r>
          </w:p>
        </w:tc>
      </w:tr>
      <w:tr w14:paraId="40764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9" w:type="pct"/>
            <w:tcBorders>
              <w:tl2br w:val="nil"/>
              <w:tr2bl w:val="nil"/>
            </w:tcBorders>
            <w:noWrap w:val="0"/>
            <w:vAlign w:val="center"/>
          </w:tcPr>
          <w:p w14:paraId="2C723607">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6</w:t>
            </w:r>
          </w:p>
        </w:tc>
        <w:tc>
          <w:tcPr>
            <w:tcW w:w="618" w:type="pct"/>
            <w:tcBorders>
              <w:tl2br w:val="nil"/>
              <w:tr2bl w:val="nil"/>
            </w:tcBorders>
            <w:noWrap w:val="0"/>
            <w:vAlign w:val="center"/>
          </w:tcPr>
          <w:p w14:paraId="3587FD71">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氮氧化物</w:t>
            </w:r>
          </w:p>
        </w:tc>
        <w:tc>
          <w:tcPr>
            <w:tcW w:w="809" w:type="pct"/>
            <w:gridSpan w:val="2"/>
            <w:tcBorders>
              <w:tl2br w:val="nil"/>
              <w:tr2bl w:val="nil"/>
            </w:tcBorders>
            <w:noWrap w:val="0"/>
            <w:vAlign w:val="center"/>
          </w:tcPr>
          <w:p w14:paraId="270430E3">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200</w:t>
            </w:r>
          </w:p>
        </w:tc>
        <w:tc>
          <w:tcPr>
            <w:tcW w:w="883" w:type="pct"/>
            <w:vMerge w:val="continue"/>
            <w:tcBorders>
              <w:tl2br w:val="nil"/>
              <w:tr2bl w:val="nil"/>
            </w:tcBorders>
            <w:noWrap w:val="0"/>
            <w:vAlign w:val="center"/>
          </w:tcPr>
          <w:p w14:paraId="4215BFD2">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c>
          <w:tcPr>
            <w:tcW w:w="699" w:type="pct"/>
            <w:tcBorders>
              <w:tl2br w:val="nil"/>
              <w:tr2bl w:val="nil"/>
            </w:tcBorders>
            <w:noWrap w:val="0"/>
            <w:vAlign w:val="center"/>
          </w:tcPr>
          <w:p w14:paraId="03F90F75">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w:t>
            </w:r>
          </w:p>
        </w:tc>
        <w:tc>
          <w:tcPr>
            <w:tcW w:w="1710" w:type="pct"/>
            <w:vMerge w:val="continue"/>
            <w:tcBorders>
              <w:tl2br w:val="nil"/>
              <w:tr2bl w:val="nil"/>
            </w:tcBorders>
            <w:noWrap w:val="0"/>
            <w:vAlign w:val="center"/>
          </w:tcPr>
          <w:p w14:paraId="15DBEBC2">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r>
      <w:tr w14:paraId="25CC73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9" w:type="pct"/>
            <w:tcBorders>
              <w:tl2br w:val="nil"/>
              <w:tr2bl w:val="nil"/>
            </w:tcBorders>
            <w:noWrap w:val="0"/>
            <w:vAlign w:val="center"/>
          </w:tcPr>
          <w:p w14:paraId="580D9716">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7</w:t>
            </w:r>
          </w:p>
        </w:tc>
        <w:tc>
          <w:tcPr>
            <w:tcW w:w="618" w:type="pct"/>
            <w:tcBorders>
              <w:tl2br w:val="nil"/>
              <w:tr2bl w:val="nil"/>
            </w:tcBorders>
            <w:noWrap w:val="0"/>
            <w:vAlign w:val="center"/>
          </w:tcPr>
          <w:p w14:paraId="3891CC8B">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二噁英</w:t>
            </w:r>
          </w:p>
        </w:tc>
        <w:tc>
          <w:tcPr>
            <w:tcW w:w="809" w:type="pct"/>
            <w:gridSpan w:val="2"/>
            <w:tcBorders>
              <w:tl2br w:val="nil"/>
              <w:tr2bl w:val="nil"/>
            </w:tcBorders>
            <w:noWrap w:val="0"/>
            <w:vAlign w:val="center"/>
          </w:tcPr>
          <w:p w14:paraId="2A430250">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0.1ng-TEQ/m</w:t>
            </w:r>
            <w:r>
              <w:rPr>
                <w:rFonts w:hint="default" w:ascii="Times New Roman" w:hAnsi="Times New Roman" w:eastAsia="仿宋" w:cs="Times New Roman"/>
                <w:b w:val="0"/>
                <w:bCs/>
                <w:color w:val="auto"/>
                <w:spacing w:val="-4"/>
                <w:kern w:val="0"/>
                <w:sz w:val="21"/>
                <w:szCs w:val="21"/>
                <w:highlight w:val="none"/>
                <w:vertAlign w:val="superscript"/>
                <w:lang w:val="en-US" w:eastAsia="zh-CN"/>
              </w:rPr>
              <w:t>3</w:t>
            </w:r>
          </w:p>
        </w:tc>
        <w:tc>
          <w:tcPr>
            <w:tcW w:w="883" w:type="pct"/>
            <w:vMerge w:val="continue"/>
            <w:tcBorders>
              <w:tl2br w:val="nil"/>
              <w:tr2bl w:val="nil"/>
            </w:tcBorders>
            <w:noWrap w:val="0"/>
            <w:vAlign w:val="center"/>
          </w:tcPr>
          <w:p w14:paraId="6E7BE056">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c>
          <w:tcPr>
            <w:tcW w:w="699" w:type="pct"/>
            <w:tcBorders>
              <w:tl2br w:val="nil"/>
              <w:tr2bl w:val="nil"/>
            </w:tcBorders>
            <w:noWrap w:val="0"/>
            <w:vAlign w:val="center"/>
          </w:tcPr>
          <w:p w14:paraId="362E30F5">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w:t>
            </w:r>
          </w:p>
        </w:tc>
        <w:tc>
          <w:tcPr>
            <w:tcW w:w="1710" w:type="pct"/>
            <w:vMerge w:val="continue"/>
            <w:tcBorders>
              <w:tl2br w:val="nil"/>
              <w:tr2bl w:val="nil"/>
            </w:tcBorders>
            <w:noWrap w:val="0"/>
            <w:vAlign w:val="center"/>
          </w:tcPr>
          <w:p w14:paraId="792BADEA">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r>
      <w:tr w14:paraId="5C304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79" w:type="pct"/>
            <w:tcBorders>
              <w:tl2br w:val="nil"/>
              <w:tr2bl w:val="nil"/>
            </w:tcBorders>
            <w:noWrap w:val="0"/>
            <w:vAlign w:val="center"/>
          </w:tcPr>
          <w:p w14:paraId="17D6900C">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8</w:t>
            </w:r>
          </w:p>
        </w:tc>
        <w:tc>
          <w:tcPr>
            <w:tcW w:w="618" w:type="pct"/>
            <w:tcBorders>
              <w:tl2br w:val="nil"/>
              <w:tr2bl w:val="nil"/>
            </w:tcBorders>
            <w:shd w:val="clear" w:color="auto" w:fill="auto"/>
            <w:noWrap w:val="0"/>
            <w:vAlign w:val="center"/>
          </w:tcPr>
          <w:p w14:paraId="3A1EA206">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bidi="ar-SA"/>
              </w:rPr>
            </w:pPr>
            <w:r>
              <w:rPr>
                <w:rFonts w:hint="default" w:ascii="Times New Roman" w:hAnsi="Times New Roman" w:eastAsia="仿宋" w:cs="Times New Roman"/>
                <w:b w:val="0"/>
                <w:bCs/>
                <w:color w:val="auto"/>
                <w:spacing w:val="-4"/>
                <w:kern w:val="0"/>
                <w:sz w:val="21"/>
                <w:szCs w:val="21"/>
                <w:highlight w:val="none"/>
                <w:lang w:val="en-US" w:eastAsia="zh-CN"/>
              </w:rPr>
              <w:t>臭气浓度</w:t>
            </w:r>
          </w:p>
        </w:tc>
        <w:tc>
          <w:tcPr>
            <w:tcW w:w="809" w:type="pct"/>
            <w:gridSpan w:val="2"/>
            <w:tcBorders>
              <w:tl2br w:val="nil"/>
              <w:tr2bl w:val="nil"/>
            </w:tcBorders>
            <w:shd w:val="clear" w:color="auto" w:fill="auto"/>
            <w:noWrap w:val="0"/>
            <w:vAlign w:val="center"/>
          </w:tcPr>
          <w:p w14:paraId="5CC855A2">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bidi="ar-SA"/>
              </w:rPr>
            </w:pPr>
            <w:r>
              <w:rPr>
                <w:rFonts w:hint="default" w:ascii="Times New Roman" w:hAnsi="Times New Roman" w:eastAsia="仿宋" w:cs="Times New Roman"/>
                <w:b w:val="0"/>
                <w:bCs/>
                <w:color w:val="auto"/>
                <w:spacing w:val="-4"/>
                <w:kern w:val="0"/>
                <w:sz w:val="21"/>
                <w:szCs w:val="21"/>
                <w:highlight w:val="none"/>
                <w:lang w:val="en-US" w:eastAsia="zh-CN"/>
              </w:rPr>
              <w:t>15000（无量纲）</w:t>
            </w:r>
          </w:p>
        </w:tc>
        <w:tc>
          <w:tcPr>
            <w:tcW w:w="883" w:type="pct"/>
            <w:vMerge w:val="continue"/>
            <w:tcBorders>
              <w:tl2br w:val="nil"/>
              <w:tr2bl w:val="nil"/>
            </w:tcBorders>
            <w:shd w:val="clear" w:color="auto" w:fill="auto"/>
            <w:noWrap w:val="0"/>
            <w:vAlign w:val="center"/>
          </w:tcPr>
          <w:p w14:paraId="5506FFE4">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bidi="ar-SA"/>
              </w:rPr>
            </w:pPr>
          </w:p>
        </w:tc>
        <w:tc>
          <w:tcPr>
            <w:tcW w:w="699" w:type="pct"/>
            <w:tcBorders>
              <w:tl2br w:val="nil"/>
              <w:tr2bl w:val="nil"/>
            </w:tcBorders>
            <w:shd w:val="clear" w:color="auto" w:fill="auto"/>
            <w:noWrap w:val="0"/>
            <w:vAlign w:val="center"/>
          </w:tcPr>
          <w:p w14:paraId="20814FE1">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bidi="ar-SA"/>
              </w:rPr>
            </w:pPr>
            <w:r>
              <w:rPr>
                <w:rFonts w:hint="default" w:ascii="Times New Roman" w:hAnsi="Times New Roman" w:eastAsia="仿宋" w:cs="Times New Roman"/>
                <w:b w:val="0"/>
                <w:bCs/>
                <w:color w:val="auto"/>
                <w:spacing w:val="-4"/>
                <w:kern w:val="0"/>
                <w:sz w:val="21"/>
                <w:szCs w:val="21"/>
                <w:highlight w:val="none"/>
                <w:lang w:val="en-US" w:eastAsia="zh-CN"/>
              </w:rPr>
              <w:t>/</w:t>
            </w:r>
          </w:p>
        </w:tc>
        <w:tc>
          <w:tcPr>
            <w:tcW w:w="1710" w:type="pct"/>
            <w:tcBorders>
              <w:tl2br w:val="nil"/>
              <w:tr2bl w:val="nil"/>
            </w:tcBorders>
            <w:shd w:val="clear" w:color="auto" w:fill="auto"/>
            <w:noWrap w:val="0"/>
            <w:vAlign w:val="center"/>
          </w:tcPr>
          <w:p w14:paraId="62654089">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bidi="ar-SA"/>
              </w:rPr>
            </w:pPr>
            <w:r>
              <w:rPr>
                <w:rFonts w:hint="default" w:ascii="Times New Roman" w:hAnsi="Times New Roman" w:eastAsia="仿宋" w:cs="Times New Roman"/>
                <w:color w:val="auto"/>
                <w:spacing w:val="-4"/>
                <w:kern w:val="0"/>
                <w:sz w:val="21"/>
                <w:szCs w:val="21"/>
                <w:lang w:val="en-US" w:eastAsia="zh-CN"/>
              </w:rPr>
              <w:t>《恶臭污染物排放标准》（GB14554-93）</w:t>
            </w:r>
          </w:p>
        </w:tc>
      </w:tr>
      <w:tr w14:paraId="04C5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7"/>
            <w:tcBorders>
              <w:tl2br w:val="nil"/>
              <w:tr2bl w:val="nil"/>
            </w:tcBorders>
            <w:noWrap w:val="0"/>
            <w:vAlign w:val="center"/>
          </w:tcPr>
          <w:p w14:paraId="19A12848">
            <w:pPr>
              <w:widowControl/>
              <w:adjustRightInd/>
              <w:snapToGrid/>
              <w:spacing w:before="0" w:beforeAutospacing="0" w:after="0" w:afterAutospacing="0" w:line="240" w:lineRule="auto"/>
              <w:ind w:left="0" w:right="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2#排气筒</w:t>
            </w:r>
            <w:bookmarkEnd w:id="0"/>
            <w:r>
              <w:rPr>
                <w:rFonts w:hint="default" w:ascii="Times New Roman" w:hAnsi="Times New Roman" w:eastAsia="仿宋" w:cs="Times New Roman"/>
                <w:b/>
                <w:bCs w:val="0"/>
                <w:color w:val="auto"/>
                <w:spacing w:val="-4"/>
                <w:kern w:val="0"/>
                <w:sz w:val="21"/>
                <w:szCs w:val="21"/>
                <w:highlight w:val="none"/>
                <w:lang w:val="en-US" w:eastAsia="zh-CN"/>
              </w:rPr>
              <w:t>（污水处理站、危险废物库房）</w:t>
            </w:r>
          </w:p>
        </w:tc>
      </w:tr>
      <w:bookmarkEnd w:id="1"/>
      <w:tr w14:paraId="5871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9" w:type="pct"/>
            <w:vMerge w:val="restart"/>
            <w:tcBorders>
              <w:tl2br w:val="nil"/>
              <w:tr2bl w:val="nil"/>
            </w:tcBorders>
            <w:noWrap w:val="0"/>
            <w:vAlign w:val="center"/>
          </w:tcPr>
          <w:p w14:paraId="275EB3A4">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bookmarkStart w:id="2" w:name="OLE_LINK297" w:colFirst="3" w:colLast="4"/>
            <w:bookmarkStart w:id="3" w:name="OLE_LINK287" w:colFirst="2" w:colLast="2"/>
            <w:r>
              <w:rPr>
                <w:rFonts w:hint="default" w:ascii="Times New Roman" w:hAnsi="Times New Roman" w:eastAsia="仿宋" w:cs="Times New Roman"/>
                <w:b/>
                <w:bCs w:val="0"/>
                <w:color w:val="auto"/>
                <w:spacing w:val="-4"/>
                <w:kern w:val="0"/>
                <w:sz w:val="21"/>
                <w:szCs w:val="21"/>
                <w:highlight w:val="none"/>
                <w:lang w:val="en-US" w:eastAsia="zh-CN"/>
              </w:rPr>
              <w:t>序号</w:t>
            </w:r>
          </w:p>
        </w:tc>
        <w:tc>
          <w:tcPr>
            <w:tcW w:w="679" w:type="pct"/>
            <w:gridSpan w:val="2"/>
            <w:vMerge w:val="restart"/>
            <w:tcBorders>
              <w:tl2br w:val="nil"/>
              <w:tr2bl w:val="nil"/>
            </w:tcBorders>
            <w:noWrap w:val="0"/>
            <w:vAlign w:val="center"/>
          </w:tcPr>
          <w:p w14:paraId="61371677">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污染物名称</w:t>
            </w:r>
          </w:p>
        </w:tc>
        <w:tc>
          <w:tcPr>
            <w:tcW w:w="2330" w:type="pct"/>
            <w:gridSpan w:val="3"/>
            <w:tcBorders>
              <w:tl2br w:val="nil"/>
              <w:tr2bl w:val="nil"/>
            </w:tcBorders>
            <w:noWrap w:val="0"/>
            <w:vAlign w:val="center"/>
          </w:tcPr>
          <w:p w14:paraId="4C5311D3">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bookmarkStart w:id="4" w:name="OLE_LINK286"/>
            <w:r>
              <w:rPr>
                <w:rFonts w:hint="default" w:ascii="Times New Roman" w:hAnsi="Times New Roman" w:eastAsia="仿宋" w:cs="Times New Roman"/>
                <w:b/>
                <w:bCs w:val="0"/>
                <w:color w:val="auto"/>
                <w:spacing w:val="-4"/>
                <w:kern w:val="0"/>
                <w:sz w:val="21"/>
                <w:szCs w:val="21"/>
                <w:highlight w:val="none"/>
                <w:lang w:val="en-US" w:eastAsia="zh-CN"/>
              </w:rPr>
              <w:t>排放标准限值</w:t>
            </w:r>
            <w:bookmarkEnd w:id="4"/>
          </w:p>
        </w:tc>
        <w:tc>
          <w:tcPr>
            <w:tcW w:w="1710" w:type="pct"/>
            <w:vMerge w:val="restart"/>
            <w:tcBorders>
              <w:tl2br w:val="nil"/>
              <w:tr2bl w:val="nil"/>
            </w:tcBorders>
            <w:noWrap w:val="0"/>
            <w:vAlign w:val="center"/>
          </w:tcPr>
          <w:p w14:paraId="2572BA9D">
            <w:pPr>
              <w:widowControl/>
              <w:adjustRightInd/>
              <w:snapToGrid/>
              <w:spacing w:before="0" w:beforeAutospacing="0" w:after="0" w:afterAutospacing="0" w:line="240" w:lineRule="auto"/>
              <w:ind w:left="0" w:right="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执行标准</w:t>
            </w:r>
          </w:p>
        </w:tc>
      </w:tr>
      <w:tr w14:paraId="751A6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9" w:type="pct"/>
            <w:vMerge w:val="continue"/>
            <w:tcBorders>
              <w:tl2br w:val="nil"/>
              <w:tr2bl w:val="nil"/>
            </w:tcBorders>
            <w:noWrap w:val="0"/>
            <w:vAlign w:val="center"/>
          </w:tcPr>
          <w:p w14:paraId="07BAA816">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p>
        </w:tc>
        <w:tc>
          <w:tcPr>
            <w:tcW w:w="679" w:type="pct"/>
            <w:gridSpan w:val="2"/>
            <w:vMerge w:val="continue"/>
            <w:tcBorders>
              <w:tl2br w:val="nil"/>
              <w:tr2bl w:val="nil"/>
            </w:tcBorders>
            <w:noWrap w:val="0"/>
            <w:vAlign w:val="center"/>
          </w:tcPr>
          <w:p w14:paraId="0650A4EA">
            <w:pPr>
              <w:widowControl/>
              <w:adjustRightInd/>
              <w:snapToGrid/>
              <w:spacing w:before="0" w:beforeAutospacing="0" w:after="0" w:afterAutospacing="0" w:line="240" w:lineRule="auto"/>
              <w:ind w:left="0" w:right="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p>
        </w:tc>
        <w:tc>
          <w:tcPr>
            <w:tcW w:w="748" w:type="pct"/>
            <w:tcBorders>
              <w:tl2br w:val="nil"/>
              <w:tr2bl w:val="nil"/>
            </w:tcBorders>
            <w:noWrap w:val="0"/>
            <w:vAlign w:val="center"/>
          </w:tcPr>
          <w:p w14:paraId="7F2BDE0A">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浓度（mg/m</w:t>
            </w:r>
            <w:r>
              <w:rPr>
                <w:rFonts w:hint="default" w:ascii="Times New Roman" w:hAnsi="Times New Roman" w:eastAsia="仿宋" w:cs="Times New Roman"/>
                <w:b/>
                <w:bCs w:val="0"/>
                <w:color w:val="auto"/>
                <w:spacing w:val="-4"/>
                <w:kern w:val="0"/>
                <w:sz w:val="21"/>
                <w:szCs w:val="21"/>
                <w:highlight w:val="none"/>
                <w:vertAlign w:val="superscript"/>
                <w:lang w:val="en-US" w:eastAsia="zh-CN"/>
              </w:rPr>
              <w:t>3</w:t>
            </w:r>
            <w:r>
              <w:rPr>
                <w:rFonts w:hint="default" w:ascii="Times New Roman" w:hAnsi="Times New Roman" w:eastAsia="仿宋" w:cs="Times New Roman"/>
                <w:b/>
                <w:bCs w:val="0"/>
                <w:color w:val="auto"/>
                <w:spacing w:val="-4"/>
                <w:kern w:val="0"/>
                <w:sz w:val="21"/>
                <w:szCs w:val="21"/>
                <w:highlight w:val="none"/>
                <w:lang w:val="en-US" w:eastAsia="zh-CN"/>
              </w:rPr>
              <w:t>）</w:t>
            </w:r>
          </w:p>
        </w:tc>
        <w:tc>
          <w:tcPr>
            <w:tcW w:w="883" w:type="pct"/>
            <w:tcBorders>
              <w:tl2br w:val="nil"/>
              <w:tr2bl w:val="nil"/>
            </w:tcBorders>
            <w:noWrap w:val="0"/>
            <w:vAlign w:val="center"/>
          </w:tcPr>
          <w:p w14:paraId="6597652E">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排气筒高度（m）</w:t>
            </w:r>
          </w:p>
        </w:tc>
        <w:tc>
          <w:tcPr>
            <w:tcW w:w="699" w:type="pct"/>
            <w:tcBorders>
              <w:tl2br w:val="nil"/>
              <w:tr2bl w:val="nil"/>
            </w:tcBorders>
            <w:noWrap w:val="0"/>
            <w:vAlign w:val="center"/>
          </w:tcPr>
          <w:p w14:paraId="159637D2">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r>
              <w:rPr>
                <w:rFonts w:hint="default" w:ascii="Times New Roman" w:hAnsi="Times New Roman" w:eastAsia="仿宋" w:cs="Times New Roman"/>
                <w:b/>
                <w:bCs w:val="0"/>
                <w:color w:val="auto"/>
                <w:spacing w:val="-4"/>
                <w:kern w:val="0"/>
                <w:sz w:val="21"/>
                <w:szCs w:val="21"/>
                <w:highlight w:val="none"/>
                <w:lang w:val="en-US" w:eastAsia="zh-CN"/>
              </w:rPr>
              <w:t>速率（</w:t>
            </w:r>
            <w:r>
              <w:rPr>
                <w:rFonts w:hint="default" w:ascii="Times New Roman" w:hAnsi="Times New Roman" w:eastAsia="仿宋" w:cs="Times New Roman"/>
                <w:b/>
                <w:bCs w:val="0"/>
                <w:i w:val="0"/>
                <w:caps w:val="0"/>
                <w:color w:val="auto"/>
                <w:kern w:val="0"/>
                <w:sz w:val="21"/>
                <w:szCs w:val="21"/>
                <w:highlight w:val="none"/>
                <w:u w:val="none"/>
                <w:lang w:val="en-US" w:eastAsia="zh-CN"/>
              </w:rPr>
              <w:t>kg/h</w:t>
            </w:r>
            <w:r>
              <w:rPr>
                <w:rFonts w:hint="default" w:ascii="Times New Roman" w:hAnsi="Times New Roman" w:eastAsia="仿宋" w:cs="Times New Roman"/>
                <w:b/>
                <w:bCs w:val="0"/>
                <w:color w:val="auto"/>
                <w:spacing w:val="-4"/>
                <w:kern w:val="0"/>
                <w:sz w:val="21"/>
                <w:szCs w:val="21"/>
                <w:highlight w:val="none"/>
                <w:lang w:val="en-US" w:eastAsia="zh-CN"/>
              </w:rPr>
              <w:t>）</w:t>
            </w:r>
          </w:p>
        </w:tc>
        <w:tc>
          <w:tcPr>
            <w:tcW w:w="1710" w:type="pct"/>
            <w:vMerge w:val="continue"/>
            <w:tcBorders>
              <w:tl2br w:val="nil"/>
              <w:tr2bl w:val="nil"/>
            </w:tcBorders>
            <w:noWrap w:val="0"/>
            <w:vAlign w:val="center"/>
          </w:tcPr>
          <w:p w14:paraId="0377D543">
            <w:pPr>
              <w:widowControl/>
              <w:adjustRightInd/>
              <w:snapToGrid/>
              <w:spacing w:before="0" w:beforeAutospacing="0" w:after="0" w:afterAutospacing="0" w:line="240" w:lineRule="auto"/>
              <w:ind w:left="0" w:right="0"/>
              <w:jc w:val="center"/>
              <w:textAlignment w:val="baseline"/>
              <w:rPr>
                <w:rFonts w:hint="default" w:ascii="Times New Roman" w:hAnsi="Times New Roman" w:eastAsia="仿宋" w:cs="Times New Roman"/>
                <w:b/>
                <w:bCs w:val="0"/>
                <w:color w:val="auto"/>
                <w:spacing w:val="-4"/>
                <w:kern w:val="0"/>
                <w:sz w:val="21"/>
                <w:szCs w:val="21"/>
                <w:highlight w:val="none"/>
                <w:lang w:val="en-US" w:eastAsia="zh-CN"/>
              </w:rPr>
            </w:pPr>
          </w:p>
        </w:tc>
      </w:tr>
      <w:bookmarkEnd w:id="2"/>
      <w:bookmarkEnd w:id="3"/>
      <w:tr w14:paraId="19639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9" w:type="pct"/>
            <w:tcBorders>
              <w:tl2br w:val="nil"/>
              <w:tr2bl w:val="nil"/>
            </w:tcBorders>
            <w:noWrap w:val="0"/>
            <w:vAlign w:val="center"/>
          </w:tcPr>
          <w:p w14:paraId="17DC687E">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bidi="ar-SA"/>
              </w:rPr>
            </w:pPr>
            <w:bookmarkStart w:id="5" w:name="OLE_LINK298" w:colFirst="3" w:colLast="4"/>
            <w:r>
              <w:rPr>
                <w:rFonts w:hint="default" w:ascii="Times New Roman" w:hAnsi="Times New Roman" w:eastAsia="仿宋" w:cs="Times New Roman"/>
                <w:b w:val="0"/>
                <w:bCs/>
                <w:color w:val="auto"/>
                <w:spacing w:val="-4"/>
                <w:kern w:val="0"/>
                <w:sz w:val="21"/>
                <w:szCs w:val="21"/>
                <w:highlight w:val="none"/>
                <w:lang w:val="en-US" w:eastAsia="zh-CN"/>
              </w:rPr>
              <w:t>1</w:t>
            </w:r>
          </w:p>
        </w:tc>
        <w:tc>
          <w:tcPr>
            <w:tcW w:w="679" w:type="pct"/>
            <w:gridSpan w:val="2"/>
            <w:tcBorders>
              <w:tl2br w:val="nil"/>
              <w:tr2bl w:val="nil"/>
            </w:tcBorders>
            <w:noWrap w:val="0"/>
            <w:vAlign w:val="center"/>
          </w:tcPr>
          <w:p w14:paraId="158719C2">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氨</w:t>
            </w:r>
          </w:p>
        </w:tc>
        <w:tc>
          <w:tcPr>
            <w:tcW w:w="748" w:type="pct"/>
            <w:tcBorders>
              <w:tl2br w:val="nil"/>
              <w:tr2bl w:val="nil"/>
            </w:tcBorders>
            <w:noWrap w:val="0"/>
            <w:vAlign w:val="center"/>
          </w:tcPr>
          <w:p w14:paraId="50B555C5">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20</w:t>
            </w:r>
          </w:p>
        </w:tc>
        <w:tc>
          <w:tcPr>
            <w:tcW w:w="883" w:type="pct"/>
            <w:vMerge w:val="restart"/>
            <w:tcBorders>
              <w:tl2br w:val="nil"/>
              <w:tr2bl w:val="nil"/>
            </w:tcBorders>
            <w:noWrap w:val="0"/>
            <w:vAlign w:val="center"/>
          </w:tcPr>
          <w:p w14:paraId="16FD66B9">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bookmarkStart w:id="6" w:name="OLE_LINK314"/>
            <w:r>
              <w:rPr>
                <w:rFonts w:hint="eastAsia" w:ascii="Times New Roman" w:hAnsi="Times New Roman" w:eastAsia="仿宋" w:cs="Times New Roman"/>
                <w:b w:val="0"/>
                <w:bCs/>
                <w:color w:val="auto"/>
                <w:spacing w:val="-4"/>
                <w:kern w:val="0"/>
                <w:sz w:val="21"/>
                <w:szCs w:val="21"/>
                <w:highlight w:val="none"/>
                <w:lang w:val="en-US" w:eastAsia="zh-CN"/>
              </w:rPr>
              <w:t>26</w:t>
            </w:r>
          </w:p>
        </w:tc>
        <w:tc>
          <w:tcPr>
            <w:tcW w:w="699" w:type="pct"/>
            <w:tcBorders>
              <w:tl2br w:val="nil"/>
              <w:tr2bl w:val="nil"/>
            </w:tcBorders>
            <w:noWrap w:val="0"/>
            <w:vAlign w:val="center"/>
          </w:tcPr>
          <w:p w14:paraId="6ADFB694">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w:t>
            </w:r>
          </w:p>
          <w:bookmarkEnd w:id="6"/>
        </w:tc>
        <w:tc>
          <w:tcPr>
            <w:tcW w:w="1710" w:type="pct"/>
            <w:vMerge w:val="restart"/>
            <w:tcBorders>
              <w:tl2br w:val="nil"/>
              <w:tr2bl w:val="nil"/>
            </w:tcBorders>
            <w:noWrap w:val="0"/>
            <w:vAlign w:val="center"/>
          </w:tcPr>
          <w:p w14:paraId="10698540">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aps w:val="0"/>
                <w:color w:val="auto"/>
                <w:spacing w:val="-4"/>
                <w:kern w:val="0"/>
                <w:sz w:val="21"/>
                <w:szCs w:val="21"/>
                <w:highlight w:val="none"/>
                <w:lang w:val="en-US" w:eastAsia="zh-CN"/>
              </w:rPr>
            </w:pPr>
            <w:r>
              <w:rPr>
                <w:rFonts w:hint="default" w:ascii="Times New Roman" w:hAnsi="Times New Roman" w:eastAsia="仿宋" w:cs="Times New Roman"/>
                <w:b w:val="0"/>
                <w:bCs/>
                <w:caps w:val="0"/>
                <w:color w:val="auto"/>
                <w:spacing w:val="-4"/>
                <w:kern w:val="0"/>
                <w:sz w:val="21"/>
                <w:szCs w:val="21"/>
                <w:highlight w:val="none"/>
                <w:lang w:val="en-US" w:eastAsia="zh-CN"/>
              </w:rPr>
              <w:t>《制药工业大气污染物排放标准》（GB 37823—2019）表2</w:t>
            </w:r>
          </w:p>
        </w:tc>
      </w:tr>
      <w:tr w14:paraId="1EAED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9" w:type="pct"/>
            <w:tcBorders>
              <w:tl2br w:val="nil"/>
              <w:tr2bl w:val="nil"/>
            </w:tcBorders>
            <w:noWrap w:val="0"/>
            <w:vAlign w:val="center"/>
          </w:tcPr>
          <w:p w14:paraId="7DE3BD71">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bidi="ar-SA"/>
              </w:rPr>
            </w:pPr>
            <w:r>
              <w:rPr>
                <w:rFonts w:hint="default" w:ascii="Times New Roman" w:hAnsi="Times New Roman" w:eastAsia="仿宋" w:cs="Times New Roman"/>
                <w:b w:val="0"/>
                <w:bCs/>
                <w:color w:val="auto"/>
                <w:spacing w:val="-4"/>
                <w:kern w:val="0"/>
                <w:sz w:val="21"/>
                <w:szCs w:val="21"/>
                <w:highlight w:val="none"/>
                <w:lang w:val="en-US" w:eastAsia="zh-CN"/>
              </w:rPr>
              <w:t>2</w:t>
            </w:r>
          </w:p>
        </w:tc>
        <w:tc>
          <w:tcPr>
            <w:tcW w:w="679" w:type="pct"/>
            <w:gridSpan w:val="2"/>
            <w:tcBorders>
              <w:tl2br w:val="nil"/>
              <w:tr2bl w:val="nil"/>
            </w:tcBorders>
            <w:noWrap w:val="0"/>
            <w:vAlign w:val="center"/>
          </w:tcPr>
          <w:p w14:paraId="7DC1BB8A">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硫化氢</w:t>
            </w:r>
          </w:p>
        </w:tc>
        <w:tc>
          <w:tcPr>
            <w:tcW w:w="748" w:type="pct"/>
            <w:tcBorders>
              <w:tl2br w:val="nil"/>
              <w:tr2bl w:val="nil"/>
            </w:tcBorders>
            <w:noWrap w:val="0"/>
            <w:vAlign w:val="center"/>
          </w:tcPr>
          <w:p w14:paraId="123F6404">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5</w:t>
            </w:r>
          </w:p>
        </w:tc>
        <w:tc>
          <w:tcPr>
            <w:tcW w:w="883" w:type="pct"/>
            <w:vMerge w:val="continue"/>
            <w:tcBorders>
              <w:tl2br w:val="nil"/>
              <w:tr2bl w:val="nil"/>
            </w:tcBorders>
            <w:noWrap w:val="0"/>
            <w:vAlign w:val="center"/>
          </w:tcPr>
          <w:p w14:paraId="4BCEBAC7">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c>
          <w:tcPr>
            <w:tcW w:w="699" w:type="pct"/>
            <w:tcBorders>
              <w:tl2br w:val="nil"/>
              <w:tr2bl w:val="nil"/>
            </w:tcBorders>
            <w:noWrap w:val="0"/>
            <w:vAlign w:val="center"/>
          </w:tcPr>
          <w:p w14:paraId="1CE44619">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w:t>
            </w:r>
          </w:p>
        </w:tc>
        <w:tc>
          <w:tcPr>
            <w:tcW w:w="1710" w:type="pct"/>
            <w:vMerge w:val="continue"/>
            <w:tcBorders>
              <w:tl2br w:val="nil"/>
              <w:tr2bl w:val="nil"/>
            </w:tcBorders>
            <w:noWrap w:val="0"/>
            <w:vAlign w:val="center"/>
          </w:tcPr>
          <w:p w14:paraId="41676C4B">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r>
      <w:tr w14:paraId="09B90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9" w:type="pct"/>
            <w:tcBorders>
              <w:tl2br w:val="nil"/>
              <w:tr2bl w:val="nil"/>
            </w:tcBorders>
            <w:noWrap w:val="0"/>
            <w:vAlign w:val="center"/>
          </w:tcPr>
          <w:p w14:paraId="51C38848">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bidi="ar-SA"/>
              </w:rPr>
            </w:pPr>
            <w:r>
              <w:rPr>
                <w:rFonts w:hint="default" w:ascii="Times New Roman" w:hAnsi="Times New Roman" w:eastAsia="仿宋" w:cs="Times New Roman"/>
                <w:b w:val="0"/>
                <w:bCs/>
                <w:color w:val="auto"/>
                <w:spacing w:val="-4"/>
                <w:kern w:val="0"/>
                <w:sz w:val="21"/>
                <w:szCs w:val="21"/>
                <w:highlight w:val="none"/>
                <w:lang w:val="en-US" w:eastAsia="zh-CN"/>
              </w:rPr>
              <w:t>3</w:t>
            </w:r>
          </w:p>
        </w:tc>
        <w:tc>
          <w:tcPr>
            <w:tcW w:w="679" w:type="pct"/>
            <w:gridSpan w:val="2"/>
            <w:tcBorders>
              <w:tl2br w:val="nil"/>
              <w:tr2bl w:val="nil"/>
            </w:tcBorders>
            <w:noWrap w:val="0"/>
            <w:vAlign w:val="center"/>
          </w:tcPr>
          <w:p w14:paraId="36B2DB1B">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NMHC</w:t>
            </w:r>
          </w:p>
        </w:tc>
        <w:tc>
          <w:tcPr>
            <w:tcW w:w="748" w:type="pct"/>
            <w:tcBorders>
              <w:tl2br w:val="nil"/>
              <w:tr2bl w:val="nil"/>
            </w:tcBorders>
            <w:noWrap w:val="0"/>
            <w:vAlign w:val="center"/>
          </w:tcPr>
          <w:p w14:paraId="064228EB">
            <w:pPr>
              <w:widowControl w:val="0"/>
              <w:wordWrap/>
              <w:adjustRightInd w:val="0"/>
              <w:snapToGrid/>
              <w:spacing w:before="0" w:beforeAutospacing="0" w:after="0" w:afterAutospacing="0" w:line="240" w:lineRule="auto"/>
              <w:ind w:left="0" w:leftChars="0" w:right="0" w:rightChars="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60</w:t>
            </w:r>
          </w:p>
        </w:tc>
        <w:tc>
          <w:tcPr>
            <w:tcW w:w="883" w:type="pct"/>
            <w:vMerge w:val="continue"/>
            <w:tcBorders>
              <w:tl2br w:val="nil"/>
              <w:tr2bl w:val="nil"/>
            </w:tcBorders>
            <w:noWrap w:val="0"/>
            <w:vAlign w:val="center"/>
          </w:tcPr>
          <w:p w14:paraId="45F9EBCF">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c>
          <w:tcPr>
            <w:tcW w:w="699" w:type="pct"/>
            <w:tcBorders>
              <w:tl2br w:val="nil"/>
              <w:tr2bl w:val="nil"/>
            </w:tcBorders>
            <w:noWrap w:val="0"/>
            <w:vAlign w:val="center"/>
          </w:tcPr>
          <w:p w14:paraId="023787B1">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w:t>
            </w:r>
          </w:p>
        </w:tc>
        <w:tc>
          <w:tcPr>
            <w:tcW w:w="1710" w:type="pct"/>
            <w:vMerge w:val="continue"/>
            <w:tcBorders>
              <w:tl2br w:val="nil"/>
              <w:tr2bl w:val="nil"/>
            </w:tcBorders>
            <w:noWrap w:val="0"/>
            <w:vAlign w:val="center"/>
          </w:tcPr>
          <w:p w14:paraId="2506FE42">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r>
      <w:bookmarkEnd w:id="5"/>
      <w:tr w14:paraId="1B262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79" w:type="pct"/>
            <w:tcBorders>
              <w:tl2br w:val="nil"/>
              <w:tr2bl w:val="nil"/>
            </w:tcBorders>
            <w:noWrap w:val="0"/>
            <w:vAlign w:val="center"/>
          </w:tcPr>
          <w:p w14:paraId="2E502236">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4</w:t>
            </w:r>
          </w:p>
        </w:tc>
        <w:tc>
          <w:tcPr>
            <w:tcW w:w="679" w:type="pct"/>
            <w:gridSpan w:val="2"/>
            <w:tcBorders>
              <w:tl2br w:val="nil"/>
              <w:tr2bl w:val="nil"/>
            </w:tcBorders>
            <w:noWrap w:val="0"/>
            <w:vAlign w:val="center"/>
          </w:tcPr>
          <w:p w14:paraId="3180F40C">
            <w:pPr>
              <w:widowControl w:val="0"/>
              <w:wordWrap/>
              <w:adjustRightInd w:val="0"/>
              <w:snapToGrid/>
              <w:spacing w:before="0" w:beforeAutospacing="0" w:after="0" w:afterAutospacing="0" w:line="240" w:lineRule="auto"/>
              <w:ind w:left="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臭气浓度</w:t>
            </w:r>
          </w:p>
        </w:tc>
        <w:tc>
          <w:tcPr>
            <w:tcW w:w="748" w:type="pct"/>
            <w:tcBorders>
              <w:tl2br w:val="nil"/>
              <w:tr2bl w:val="nil"/>
            </w:tcBorders>
            <w:noWrap w:val="0"/>
            <w:vAlign w:val="center"/>
          </w:tcPr>
          <w:p w14:paraId="31659E0A">
            <w:pPr>
              <w:keepNext w:val="0"/>
              <w:keepLines w:val="0"/>
              <w:pageBreakBefore w:val="0"/>
              <w:widowControl/>
              <w:kinsoku/>
              <w:wordWrap/>
              <w:overflowPunct/>
              <w:topLinePunct w:val="0"/>
              <w:autoSpaceDE/>
              <w:autoSpaceDN/>
              <w:bidi w:val="0"/>
              <w:adjustRightInd/>
              <w:snapToGrid/>
              <w:spacing w:beforeAutospacing="0" w:after="0" w:afterAutospacing="0" w:line="240" w:lineRule="exact"/>
              <w:ind w:left="0" w:leftChars="0" w:right="0" w:rightChars="0" w:firstLine="0" w:firstLineChars="0"/>
              <w:jc w:val="center"/>
              <w:textAlignment w:val="auto"/>
              <w:outlineLvl w:val="9"/>
              <w:rPr>
                <w:rFonts w:hint="default" w:ascii="Times New Roman" w:hAnsi="Times New Roman" w:eastAsia="仿宋" w:cs="Times New Roman"/>
                <w:b w:val="0"/>
                <w:bCs/>
                <w:color w:val="auto"/>
                <w:spacing w:val="-4"/>
                <w:kern w:val="0"/>
                <w:sz w:val="21"/>
                <w:szCs w:val="21"/>
                <w:highlight w:val="none"/>
                <w:lang w:val="en-US" w:eastAsia="zh-CN"/>
              </w:rPr>
            </w:pPr>
            <w:r>
              <w:rPr>
                <w:rFonts w:hint="eastAsia" w:ascii="Times New Roman" w:hAnsi="Times New Roman" w:eastAsia="仿宋" w:cs="Times New Roman"/>
                <w:color w:val="auto"/>
                <w:spacing w:val="-4"/>
                <w:kern w:val="0"/>
                <w:sz w:val="21"/>
                <w:szCs w:val="21"/>
                <w:lang w:val="en-US" w:eastAsia="zh-CN"/>
              </w:rPr>
              <w:t>6000</w:t>
            </w:r>
            <w:r>
              <w:rPr>
                <w:rFonts w:hint="default" w:ascii="Times New Roman" w:hAnsi="Times New Roman" w:eastAsia="仿宋" w:cs="Times New Roman"/>
                <w:color w:val="auto"/>
                <w:spacing w:val="-4"/>
                <w:kern w:val="0"/>
                <w:sz w:val="21"/>
                <w:szCs w:val="21"/>
                <w:lang w:val="en-US" w:eastAsia="zh-CN"/>
              </w:rPr>
              <w:t>（无量纲）</w:t>
            </w:r>
          </w:p>
        </w:tc>
        <w:tc>
          <w:tcPr>
            <w:tcW w:w="883" w:type="pct"/>
            <w:vMerge w:val="continue"/>
            <w:tcBorders>
              <w:tl2br w:val="nil"/>
              <w:tr2bl w:val="nil"/>
            </w:tcBorders>
            <w:noWrap w:val="0"/>
            <w:vAlign w:val="center"/>
          </w:tcPr>
          <w:p w14:paraId="12E722C4">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p>
        </w:tc>
        <w:tc>
          <w:tcPr>
            <w:tcW w:w="699" w:type="pct"/>
            <w:tcBorders>
              <w:tl2br w:val="nil"/>
              <w:tr2bl w:val="nil"/>
            </w:tcBorders>
            <w:noWrap w:val="0"/>
            <w:vAlign w:val="center"/>
          </w:tcPr>
          <w:p w14:paraId="7D5DB769">
            <w:pPr>
              <w:widowControl w:val="0"/>
              <w:wordWrap/>
              <w:adjustRightInd w:val="0"/>
              <w:snapToGrid/>
              <w:spacing w:before="0" w:beforeAutospacing="0" w:after="0" w:afterAutospacing="0" w:line="240" w:lineRule="auto"/>
              <w:ind w:left="0" w:leftChars="0" w:right="0" w:firstLine="0" w:firstLineChars="0"/>
              <w:jc w:val="center"/>
              <w:textAlignment w:val="baseline"/>
              <w:rPr>
                <w:rFonts w:hint="default" w:ascii="Times New Roman" w:hAnsi="Times New Roman" w:eastAsia="仿宋" w:cs="Times New Roman"/>
                <w:b w:val="0"/>
                <w:bCs/>
                <w:color w:val="auto"/>
                <w:spacing w:val="-4"/>
                <w:kern w:val="0"/>
                <w:sz w:val="21"/>
                <w:szCs w:val="21"/>
                <w:highlight w:val="none"/>
                <w:lang w:val="en-US" w:eastAsia="zh-CN"/>
              </w:rPr>
            </w:pPr>
            <w:r>
              <w:rPr>
                <w:rFonts w:hint="default" w:ascii="Times New Roman" w:hAnsi="Times New Roman" w:eastAsia="仿宋" w:cs="Times New Roman"/>
                <w:b w:val="0"/>
                <w:bCs/>
                <w:color w:val="auto"/>
                <w:spacing w:val="-4"/>
                <w:kern w:val="0"/>
                <w:sz w:val="21"/>
                <w:szCs w:val="21"/>
                <w:highlight w:val="none"/>
                <w:lang w:val="en-US" w:eastAsia="zh-CN"/>
              </w:rPr>
              <w:t>/</w:t>
            </w:r>
          </w:p>
        </w:tc>
        <w:tc>
          <w:tcPr>
            <w:tcW w:w="1710" w:type="pct"/>
            <w:tcBorders>
              <w:tl2br w:val="nil"/>
              <w:tr2bl w:val="nil"/>
            </w:tcBorders>
            <w:noWrap w:val="0"/>
            <w:vAlign w:val="center"/>
          </w:tcPr>
          <w:p w14:paraId="73D20B65">
            <w:pPr>
              <w:keepNext w:val="0"/>
              <w:keepLines w:val="0"/>
              <w:pageBreakBefore w:val="0"/>
              <w:widowControl/>
              <w:kinsoku/>
              <w:wordWrap/>
              <w:overflowPunct/>
              <w:topLinePunct w:val="0"/>
              <w:autoSpaceDE/>
              <w:autoSpaceDN/>
              <w:bidi w:val="0"/>
              <w:adjustRightInd/>
              <w:snapToGrid/>
              <w:spacing w:beforeAutospacing="0" w:after="0" w:afterAutospacing="0" w:line="240" w:lineRule="exact"/>
              <w:ind w:left="0" w:leftChars="0" w:right="0" w:rightChars="0" w:firstLine="0" w:firstLineChars="0"/>
              <w:jc w:val="center"/>
              <w:textAlignment w:val="auto"/>
              <w:outlineLvl w:val="9"/>
              <w:rPr>
                <w:rFonts w:hint="default" w:ascii="Times New Roman" w:hAnsi="Times New Roman" w:eastAsia="仿宋" w:cs="Times New Roman"/>
                <w:color w:val="auto"/>
                <w:spacing w:val="-4"/>
                <w:kern w:val="0"/>
                <w:sz w:val="21"/>
                <w:szCs w:val="21"/>
                <w:lang w:val="en-US" w:eastAsia="zh-CN"/>
              </w:rPr>
            </w:pPr>
            <w:r>
              <w:rPr>
                <w:rFonts w:hint="default" w:ascii="Times New Roman" w:hAnsi="Times New Roman" w:eastAsia="仿宋" w:cs="Times New Roman"/>
                <w:color w:val="auto"/>
                <w:spacing w:val="-4"/>
                <w:kern w:val="0"/>
                <w:sz w:val="21"/>
                <w:szCs w:val="21"/>
                <w:lang w:val="en-US" w:eastAsia="zh-CN"/>
              </w:rPr>
              <w:t>《恶臭污染物排放标准》（GB14554-93）</w:t>
            </w:r>
          </w:p>
        </w:tc>
      </w:tr>
    </w:tbl>
    <w:p w14:paraId="189F936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企业边界无组织污染物氯化氢排放浓度执行《制药工业大气污染物排放标准》（GB37823-2019）中表4标准限值；颗粒物、二氧化硫、氮氧化物、非甲烷总烃、甲醇无组织排放浓度执行《大气污染物综合排放标准》（GB 16297-1996）中无组织浓度监控限值；氨、硫化氢、臭气浓度等厂界无组织排放监控要求执行《恶臭污染物排放标准》（GB14554-93）限值。</w:t>
      </w:r>
    </w:p>
    <w:p w14:paraId="2E44801F">
      <w:pPr>
        <w:keepNext w:val="0"/>
        <w:keepLines w:val="0"/>
        <w:pageBreakBefore w:val="0"/>
        <w:widowControl/>
        <w:kinsoku/>
        <w:wordWrap/>
        <w:overflowPunct/>
        <w:topLinePunct w:val="0"/>
        <w:autoSpaceDE/>
        <w:autoSpaceDN/>
        <w:bidi w:val="0"/>
        <w:adjustRightInd/>
        <w:snapToGrid/>
        <w:spacing w:after="0" w:line="360" w:lineRule="auto"/>
        <w:ind w:left="0" w:leftChars="0" w:right="0" w:firstLine="426" w:firstLineChars="183"/>
        <w:jc w:val="center"/>
        <w:textAlignment w:val="baseline"/>
        <w:outlineLvl w:val="9"/>
        <w:rPr>
          <w:rFonts w:hint="default" w:ascii="Times New Roman" w:hAnsi="Times New Roman" w:eastAsia="仿宋" w:cs="Times New Roman"/>
          <w:b/>
          <w:bCs/>
          <w:color w:val="auto"/>
          <w:spacing w:val="-4"/>
          <w:kern w:val="2"/>
          <w:sz w:val="24"/>
          <w:szCs w:val="21"/>
          <w:lang w:val="en-US" w:eastAsia="zh-CN" w:bidi="ar-SA"/>
        </w:rPr>
      </w:pPr>
      <w:r>
        <w:rPr>
          <w:rFonts w:hint="default" w:ascii="Times New Roman" w:hAnsi="Times New Roman" w:eastAsia="仿宋" w:cs="Times New Roman"/>
          <w:b/>
          <w:bCs/>
          <w:color w:val="auto"/>
          <w:spacing w:val="-4"/>
          <w:kern w:val="2"/>
          <w:sz w:val="24"/>
          <w:szCs w:val="21"/>
          <w:lang w:val="en-US" w:eastAsia="zh-CN" w:bidi="ar-SA"/>
        </w:rPr>
        <w:t>无组织污染物排放浓度限值</w:t>
      </w:r>
    </w:p>
    <w:tbl>
      <w:tblPr>
        <w:tblStyle w:val="4"/>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8"/>
        <w:gridCol w:w="1980"/>
        <w:gridCol w:w="1365"/>
        <w:gridCol w:w="4473"/>
      </w:tblGrid>
      <w:tr w14:paraId="76227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90" w:type="pct"/>
            <w:vMerge w:val="restart"/>
            <w:tcBorders>
              <w:tl2br w:val="nil"/>
              <w:tr2bl w:val="nil"/>
            </w:tcBorders>
            <w:noWrap w:val="0"/>
            <w:vAlign w:val="center"/>
          </w:tcPr>
          <w:p w14:paraId="3EBF0885">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aps w:val="0"/>
                <w:color w:val="auto"/>
                <w:kern w:val="2"/>
                <w:sz w:val="21"/>
                <w:szCs w:val="21"/>
                <w:highlight w:val="none"/>
              </w:rPr>
            </w:pPr>
            <w:r>
              <w:rPr>
                <w:rFonts w:hint="default" w:ascii="Times New Roman" w:hAnsi="Times New Roman" w:eastAsia="仿宋" w:cs="Times New Roman"/>
                <w:b/>
                <w:bCs/>
                <w:caps w:val="0"/>
                <w:color w:val="auto"/>
                <w:kern w:val="2"/>
                <w:sz w:val="21"/>
                <w:szCs w:val="21"/>
                <w:highlight w:val="none"/>
              </w:rPr>
              <w:t>污染物</w:t>
            </w:r>
          </w:p>
        </w:tc>
        <w:tc>
          <w:tcPr>
            <w:tcW w:w="4209" w:type="pct"/>
            <w:gridSpan w:val="3"/>
            <w:tcBorders>
              <w:tl2br w:val="nil"/>
              <w:tr2bl w:val="nil"/>
            </w:tcBorders>
            <w:noWrap w:val="0"/>
            <w:vAlign w:val="center"/>
          </w:tcPr>
          <w:p w14:paraId="45522E98">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aps w:val="0"/>
                <w:color w:val="auto"/>
                <w:kern w:val="2"/>
                <w:sz w:val="21"/>
                <w:szCs w:val="21"/>
                <w:highlight w:val="none"/>
              </w:rPr>
            </w:pPr>
            <w:r>
              <w:rPr>
                <w:rFonts w:hint="default" w:ascii="Times New Roman" w:hAnsi="Times New Roman" w:eastAsia="仿宋" w:cs="Times New Roman"/>
                <w:b/>
                <w:bCs/>
                <w:caps w:val="0"/>
                <w:color w:val="auto"/>
                <w:kern w:val="2"/>
                <w:sz w:val="21"/>
                <w:szCs w:val="21"/>
                <w:highlight w:val="none"/>
              </w:rPr>
              <w:t>无组织排放监控浓度限值</w:t>
            </w:r>
          </w:p>
        </w:tc>
      </w:tr>
      <w:tr w14:paraId="68A59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90" w:type="pct"/>
            <w:vMerge w:val="continue"/>
            <w:tcBorders>
              <w:tl2br w:val="nil"/>
              <w:tr2bl w:val="nil"/>
            </w:tcBorders>
            <w:noWrap w:val="0"/>
            <w:vAlign w:val="center"/>
          </w:tcPr>
          <w:p w14:paraId="43B8EB74">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aps w:val="0"/>
                <w:color w:val="auto"/>
                <w:kern w:val="2"/>
                <w:sz w:val="21"/>
                <w:szCs w:val="21"/>
                <w:highlight w:val="none"/>
              </w:rPr>
            </w:pPr>
          </w:p>
        </w:tc>
        <w:tc>
          <w:tcPr>
            <w:tcW w:w="1066" w:type="pct"/>
            <w:tcBorders>
              <w:tl2br w:val="nil"/>
              <w:tr2bl w:val="nil"/>
            </w:tcBorders>
            <w:noWrap w:val="0"/>
            <w:vAlign w:val="center"/>
          </w:tcPr>
          <w:p w14:paraId="264FEE05">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aps w:val="0"/>
                <w:color w:val="auto"/>
                <w:kern w:val="2"/>
                <w:sz w:val="21"/>
                <w:szCs w:val="21"/>
                <w:highlight w:val="none"/>
              </w:rPr>
            </w:pPr>
            <w:r>
              <w:rPr>
                <w:rFonts w:hint="default" w:ascii="Times New Roman" w:hAnsi="Times New Roman" w:eastAsia="仿宋" w:cs="Times New Roman"/>
                <w:b/>
                <w:bCs/>
                <w:caps w:val="0"/>
                <w:color w:val="auto"/>
                <w:kern w:val="2"/>
                <w:sz w:val="21"/>
                <w:szCs w:val="21"/>
                <w:highlight w:val="none"/>
              </w:rPr>
              <w:t>监控点</w:t>
            </w:r>
          </w:p>
        </w:tc>
        <w:tc>
          <w:tcPr>
            <w:tcW w:w="3142" w:type="pct"/>
            <w:gridSpan w:val="2"/>
            <w:tcBorders>
              <w:tl2br w:val="nil"/>
              <w:tr2bl w:val="nil"/>
            </w:tcBorders>
            <w:noWrap w:val="0"/>
            <w:vAlign w:val="center"/>
          </w:tcPr>
          <w:p w14:paraId="43407DBE">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b/>
                <w:bCs/>
                <w:caps w:val="0"/>
                <w:color w:val="auto"/>
                <w:kern w:val="2"/>
                <w:sz w:val="21"/>
                <w:szCs w:val="21"/>
                <w:highlight w:val="none"/>
              </w:rPr>
            </w:pPr>
            <w:r>
              <w:rPr>
                <w:rFonts w:hint="default" w:ascii="Times New Roman" w:hAnsi="Times New Roman" w:eastAsia="仿宋" w:cs="Times New Roman"/>
                <w:b/>
                <w:bCs/>
                <w:caps w:val="0"/>
                <w:color w:val="auto"/>
                <w:kern w:val="2"/>
                <w:sz w:val="21"/>
                <w:szCs w:val="21"/>
                <w:highlight w:val="none"/>
              </w:rPr>
              <w:t>浓度（mg/m</w:t>
            </w:r>
            <w:r>
              <w:rPr>
                <w:rFonts w:hint="default" w:ascii="Times New Roman" w:hAnsi="Times New Roman" w:eastAsia="仿宋" w:cs="Times New Roman"/>
                <w:b/>
                <w:bCs/>
                <w:caps w:val="0"/>
                <w:color w:val="auto"/>
                <w:kern w:val="2"/>
                <w:sz w:val="21"/>
                <w:szCs w:val="21"/>
                <w:highlight w:val="none"/>
                <w:vertAlign w:val="superscript"/>
              </w:rPr>
              <w:t>3</w:t>
            </w:r>
            <w:r>
              <w:rPr>
                <w:rFonts w:hint="default" w:ascii="Times New Roman" w:hAnsi="Times New Roman" w:eastAsia="仿宋" w:cs="Times New Roman"/>
                <w:b/>
                <w:bCs/>
                <w:caps w:val="0"/>
                <w:color w:val="auto"/>
                <w:kern w:val="2"/>
                <w:sz w:val="21"/>
                <w:szCs w:val="21"/>
                <w:highlight w:val="none"/>
              </w:rPr>
              <w:t>）</w:t>
            </w:r>
          </w:p>
        </w:tc>
      </w:tr>
      <w:tr w14:paraId="58C3B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790" w:type="pct"/>
            <w:tcBorders>
              <w:tl2br w:val="nil"/>
              <w:tr2bl w:val="nil"/>
            </w:tcBorders>
            <w:noWrap w:val="0"/>
            <w:vAlign w:val="center"/>
          </w:tcPr>
          <w:p w14:paraId="16E30A2D">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aps w:val="0"/>
                <w:color w:val="auto"/>
                <w:kern w:val="2"/>
                <w:sz w:val="21"/>
                <w:szCs w:val="21"/>
                <w:highlight w:val="none"/>
                <w:lang w:val="en-US" w:eastAsia="zh-CN"/>
              </w:rPr>
            </w:pPr>
            <w:r>
              <w:rPr>
                <w:rFonts w:hint="default" w:ascii="Times New Roman" w:hAnsi="Times New Roman" w:eastAsia="仿宋" w:cs="Times New Roman"/>
                <w:caps w:val="0"/>
                <w:color w:val="auto"/>
                <w:kern w:val="2"/>
                <w:sz w:val="21"/>
                <w:szCs w:val="21"/>
                <w:highlight w:val="none"/>
                <w:lang w:val="en-US" w:eastAsia="zh-CN"/>
              </w:rPr>
              <w:t>氯化氢</w:t>
            </w:r>
          </w:p>
        </w:tc>
        <w:tc>
          <w:tcPr>
            <w:tcW w:w="1066" w:type="pct"/>
            <w:tcBorders>
              <w:tl2br w:val="nil"/>
              <w:tr2bl w:val="nil"/>
            </w:tcBorders>
            <w:noWrap w:val="0"/>
            <w:vAlign w:val="center"/>
          </w:tcPr>
          <w:p w14:paraId="75F1AC11">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aps w:val="0"/>
                <w:color w:val="auto"/>
                <w:kern w:val="2"/>
                <w:sz w:val="21"/>
                <w:szCs w:val="21"/>
                <w:highlight w:val="none"/>
              </w:rPr>
            </w:pPr>
            <w:r>
              <w:rPr>
                <w:rFonts w:hint="default" w:ascii="Times New Roman" w:hAnsi="Times New Roman" w:eastAsia="仿宋" w:cs="Times New Roman"/>
                <w:caps w:val="0"/>
                <w:color w:val="auto"/>
                <w:kern w:val="2"/>
                <w:sz w:val="21"/>
                <w:szCs w:val="21"/>
                <w:highlight w:val="none"/>
              </w:rPr>
              <w:t>企业边界</w:t>
            </w:r>
          </w:p>
        </w:tc>
        <w:tc>
          <w:tcPr>
            <w:tcW w:w="735" w:type="pct"/>
            <w:tcBorders>
              <w:tl2br w:val="nil"/>
              <w:tr2bl w:val="nil"/>
            </w:tcBorders>
            <w:noWrap w:val="0"/>
            <w:vAlign w:val="center"/>
          </w:tcPr>
          <w:p w14:paraId="319F9AA2">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aps w:val="0"/>
                <w:color w:val="auto"/>
                <w:kern w:val="2"/>
                <w:sz w:val="21"/>
                <w:szCs w:val="21"/>
                <w:highlight w:val="none"/>
                <w:lang w:val="en-US" w:eastAsia="zh-CN"/>
              </w:rPr>
            </w:pPr>
            <w:r>
              <w:rPr>
                <w:rFonts w:hint="default" w:ascii="Times New Roman" w:hAnsi="Times New Roman" w:eastAsia="仿宋" w:cs="Times New Roman"/>
                <w:caps w:val="0"/>
                <w:color w:val="auto"/>
                <w:kern w:val="2"/>
                <w:sz w:val="21"/>
                <w:szCs w:val="21"/>
                <w:highlight w:val="none"/>
                <w:lang w:val="en-US" w:eastAsia="zh-CN"/>
              </w:rPr>
              <w:t>0.20</w:t>
            </w:r>
          </w:p>
        </w:tc>
        <w:tc>
          <w:tcPr>
            <w:tcW w:w="2407" w:type="pct"/>
            <w:tcBorders>
              <w:tl2br w:val="nil"/>
              <w:tr2bl w:val="nil"/>
            </w:tcBorders>
            <w:noWrap w:val="0"/>
            <w:vAlign w:val="center"/>
          </w:tcPr>
          <w:p w14:paraId="6D146D76">
            <w:pPr>
              <w:keepNext w:val="0"/>
              <w:keepLines w:val="0"/>
              <w:pageBreakBefore w:val="0"/>
              <w:widowControl w:val="0"/>
              <w:kinsoku/>
              <w:wordWrap/>
              <w:overflowPunct/>
              <w:topLinePunct w:val="0"/>
              <w:autoSpaceDE/>
              <w:autoSpaceDN/>
              <w:bidi w:val="0"/>
              <w:adjustRightInd/>
              <w:snapToGrid/>
              <w:spacing w:beforeAutospacing="0" w:after="0" w:afterAutospacing="0" w:line="240" w:lineRule="exact"/>
              <w:ind w:left="0" w:leftChars="0" w:right="0" w:rightChars="0" w:firstLine="0" w:firstLineChars="0"/>
              <w:jc w:val="center"/>
              <w:textAlignment w:val="baseline"/>
              <w:outlineLvl w:val="9"/>
              <w:rPr>
                <w:rFonts w:hint="default" w:ascii="Times New Roman" w:hAnsi="Times New Roman" w:eastAsia="仿宋" w:cs="Times New Roman"/>
                <w:caps w:val="0"/>
                <w:color w:val="auto"/>
                <w:kern w:val="2"/>
                <w:sz w:val="21"/>
                <w:szCs w:val="21"/>
                <w:highlight w:val="none"/>
              </w:rPr>
            </w:pPr>
            <w:r>
              <w:rPr>
                <w:rFonts w:hint="default" w:ascii="Times New Roman" w:hAnsi="Times New Roman" w:eastAsia="仿宋" w:cs="Times New Roman"/>
                <w:b w:val="0"/>
                <w:bCs/>
                <w:caps w:val="0"/>
                <w:color w:val="auto"/>
                <w:spacing w:val="-4"/>
                <w:kern w:val="2"/>
                <w:sz w:val="21"/>
                <w:szCs w:val="21"/>
                <w:highlight w:val="none"/>
                <w:lang w:val="en-US" w:eastAsia="zh-CN"/>
              </w:rPr>
              <w:t>《制药工业大气污染物排放标准》（GB 37823—2019）表4标准限值</w:t>
            </w:r>
          </w:p>
        </w:tc>
      </w:tr>
      <w:tr w14:paraId="121C0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90" w:type="pct"/>
            <w:tcBorders>
              <w:tl2br w:val="nil"/>
              <w:tr2bl w:val="nil"/>
            </w:tcBorders>
            <w:noWrap w:val="0"/>
            <w:vAlign w:val="center"/>
          </w:tcPr>
          <w:p w14:paraId="3491DA58">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lang w:val="en-US" w:eastAsia="zh-CN" w:bidi="ar-SA"/>
              </w:rPr>
            </w:pPr>
            <w:r>
              <w:rPr>
                <w:rFonts w:hint="default" w:ascii="Times New Roman" w:hAnsi="Times New Roman" w:eastAsia="仿宋" w:cs="Times New Roman"/>
                <w:caps w:val="0"/>
                <w:color w:val="auto"/>
                <w:spacing w:val="-4"/>
                <w:kern w:val="2"/>
                <w:sz w:val="21"/>
                <w:szCs w:val="21"/>
                <w:highlight w:val="none"/>
              </w:rPr>
              <w:t>颗粒物</w:t>
            </w:r>
          </w:p>
        </w:tc>
        <w:tc>
          <w:tcPr>
            <w:tcW w:w="1066" w:type="pct"/>
            <w:tcBorders>
              <w:tl2br w:val="nil"/>
              <w:tr2bl w:val="nil"/>
            </w:tcBorders>
            <w:noWrap w:val="0"/>
            <w:vAlign w:val="center"/>
          </w:tcPr>
          <w:p w14:paraId="224C7DE2">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lang w:val="en-US" w:eastAsia="zh-CN" w:bidi="ar-SA"/>
              </w:rPr>
            </w:pPr>
            <w:r>
              <w:rPr>
                <w:rFonts w:hint="default" w:ascii="Times New Roman" w:hAnsi="Times New Roman" w:eastAsia="仿宋" w:cs="Times New Roman"/>
                <w:caps w:val="0"/>
                <w:color w:val="auto"/>
                <w:spacing w:val="-4"/>
                <w:kern w:val="2"/>
                <w:sz w:val="21"/>
                <w:szCs w:val="21"/>
                <w:highlight w:val="none"/>
              </w:rPr>
              <w:t>周界外浓度最高点</w:t>
            </w:r>
          </w:p>
        </w:tc>
        <w:tc>
          <w:tcPr>
            <w:tcW w:w="735" w:type="pct"/>
            <w:tcBorders>
              <w:tl2br w:val="nil"/>
              <w:tr2bl w:val="nil"/>
            </w:tcBorders>
            <w:noWrap w:val="0"/>
            <w:vAlign w:val="center"/>
          </w:tcPr>
          <w:p w14:paraId="631268D2">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lang w:val="en-US" w:eastAsia="zh-CN" w:bidi="ar-SA"/>
              </w:rPr>
            </w:pPr>
            <w:r>
              <w:rPr>
                <w:rFonts w:hint="default" w:ascii="Times New Roman" w:hAnsi="Times New Roman" w:eastAsia="仿宋" w:cs="Times New Roman"/>
                <w:caps w:val="0"/>
                <w:color w:val="auto"/>
                <w:spacing w:val="-4"/>
                <w:kern w:val="2"/>
                <w:sz w:val="21"/>
                <w:szCs w:val="21"/>
                <w:highlight w:val="none"/>
              </w:rPr>
              <w:t>1.0</w:t>
            </w:r>
            <w:r>
              <w:rPr>
                <w:rFonts w:hint="default" w:ascii="Times New Roman" w:hAnsi="Times New Roman" w:eastAsia="仿宋" w:cs="Times New Roman"/>
                <w:caps w:val="0"/>
                <w:color w:val="auto"/>
                <w:spacing w:val="-4"/>
                <w:kern w:val="2"/>
                <w:sz w:val="21"/>
                <w:szCs w:val="21"/>
                <w:highlight w:val="none"/>
                <w:lang w:val="en-US" w:eastAsia="zh-CN"/>
              </w:rPr>
              <w:t>0</w:t>
            </w:r>
          </w:p>
        </w:tc>
        <w:tc>
          <w:tcPr>
            <w:tcW w:w="2407" w:type="pct"/>
            <w:vMerge w:val="restart"/>
            <w:tcBorders>
              <w:tl2br w:val="nil"/>
              <w:tr2bl w:val="nil"/>
            </w:tcBorders>
            <w:noWrap w:val="0"/>
            <w:vAlign w:val="center"/>
          </w:tcPr>
          <w:p w14:paraId="0060DC20">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aps w:val="0"/>
                <w:color w:val="auto"/>
                <w:kern w:val="2"/>
                <w:sz w:val="21"/>
                <w:szCs w:val="21"/>
                <w:highlight w:val="none"/>
              </w:rPr>
            </w:pPr>
            <w:r>
              <w:rPr>
                <w:rFonts w:hint="default" w:ascii="Times New Roman" w:hAnsi="Times New Roman" w:eastAsia="仿宋" w:cs="Times New Roman"/>
                <w:caps w:val="0"/>
                <w:color w:val="auto"/>
                <w:kern w:val="2"/>
                <w:sz w:val="21"/>
                <w:szCs w:val="21"/>
                <w:highlight w:val="none"/>
              </w:rPr>
              <w:t>《大气污染物综合排放标准》（GB16297-1996）</w:t>
            </w:r>
          </w:p>
        </w:tc>
      </w:tr>
      <w:tr w14:paraId="090CF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90" w:type="pct"/>
            <w:tcBorders>
              <w:tl2br w:val="nil"/>
              <w:tr2bl w:val="nil"/>
            </w:tcBorders>
            <w:noWrap w:val="0"/>
            <w:vAlign w:val="center"/>
          </w:tcPr>
          <w:p w14:paraId="23F4B571">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lang w:val="en-US" w:eastAsia="zh-CN"/>
              </w:rPr>
            </w:pPr>
            <w:r>
              <w:rPr>
                <w:rFonts w:hint="default" w:ascii="Times New Roman" w:hAnsi="Times New Roman" w:eastAsia="仿宋" w:cs="Times New Roman"/>
                <w:caps w:val="0"/>
                <w:color w:val="auto"/>
                <w:spacing w:val="-4"/>
                <w:kern w:val="2"/>
                <w:sz w:val="21"/>
                <w:szCs w:val="21"/>
                <w:highlight w:val="none"/>
                <w:lang w:val="en-US" w:eastAsia="zh-CN"/>
              </w:rPr>
              <w:t>二氧化硫</w:t>
            </w:r>
          </w:p>
        </w:tc>
        <w:tc>
          <w:tcPr>
            <w:tcW w:w="1066" w:type="pct"/>
            <w:tcBorders>
              <w:tl2br w:val="nil"/>
              <w:tr2bl w:val="nil"/>
            </w:tcBorders>
            <w:noWrap w:val="0"/>
            <w:vAlign w:val="center"/>
          </w:tcPr>
          <w:p w14:paraId="26EBA111">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rPr>
            </w:pPr>
            <w:r>
              <w:rPr>
                <w:rFonts w:hint="default" w:ascii="Times New Roman" w:hAnsi="Times New Roman" w:eastAsia="仿宋" w:cs="Times New Roman"/>
                <w:caps w:val="0"/>
                <w:color w:val="auto"/>
                <w:spacing w:val="-4"/>
                <w:kern w:val="2"/>
                <w:sz w:val="21"/>
                <w:szCs w:val="21"/>
                <w:highlight w:val="none"/>
              </w:rPr>
              <w:t>周界外浓度最高点</w:t>
            </w:r>
          </w:p>
        </w:tc>
        <w:tc>
          <w:tcPr>
            <w:tcW w:w="735" w:type="pct"/>
            <w:tcBorders>
              <w:tl2br w:val="nil"/>
              <w:tr2bl w:val="nil"/>
            </w:tcBorders>
            <w:noWrap w:val="0"/>
            <w:vAlign w:val="center"/>
          </w:tcPr>
          <w:p w14:paraId="3D58DAFF">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lang w:val="en-US" w:eastAsia="zh-CN"/>
              </w:rPr>
            </w:pPr>
            <w:r>
              <w:rPr>
                <w:rFonts w:hint="default" w:ascii="Times New Roman" w:hAnsi="Times New Roman" w:eastAsia="仿宋" w:cs="Times New Roman"/>
                <w:caps w:val="0"/>
                <w:color w:val="auto"/>
                <w:spacing w:val="-4"/>
                <w:kern w:val="2"/>
                <w:sz w:val="21"/>
                <w:szCs w:val="21"/>
                <w:highlight w:val="none"/>
                <w:lang w:val="en-US" w:eastAsia="zh-CN"/>
              </w:rPr>
              <w:t>0.40</w:t>
            </w:r>
          </w:p>
        </w:tc>
        <w:tc>
          <w:tcPr>
            <w:tcW w:w="2407" w:type="pct"/>
            <w:vMerge w:val="continue"/>
            <w:tcBorders>
              <w:tl2br w:val="nil"/>
              <w:tr2bl w:val="nil"/>
            </w:tcBorders>
            <w:noWrap w:val="0"/>
            <w:vAlign w:val="center"/>
          </w:tcPr>
          <w:p w14:paraId="109C3CC8">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aps w:val="0"/>
                <w:color w:val="auto"/>
                <w:kern w:val="2"/>
                <w:sz w:val="21"/>
                <w:szCs w:val="21"/>
                <w:highlight w:val="none"/>
              </w:rPr>
            </w:pPr>
          </w:p>
        </w:tc>
      </w:tr>
      <w:tr w14:paraId="56EE2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90" w:type="pct"/>
            <w:tcBorders>
              <w:tl2br w:val="nil"/>
              <w:tr2bl w:val="nil"/>
            </w:tcBorders>
            <w:noWrap w:val="0"/>
            <w:vAlign w:val="center"/>
          </w:tcPr>
          <w:p w14:paraId="1695E052">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lang w:val="en-US" w:eastAsia="zh-CN"/>
              </w:rPr>
            </w:pPr>
            <w:r>
              <w:rPr>
                <w:rFonts w:hint="default" w:ascii="Times New Roman" w:hAnsi="Times New Roman" w:eastAsia="仿宋" w:cs="Times New Roman"/>
                <w:caps w:val="0"/>
                <w:color w:val="auto"/>
                <w:spacing w:val="-4"/>
                <w:kern w:val="2"/>
                <w:sz w:val="21"/>
                <w:szCs w:val="21"/>
                <w:highlight w:val="none"/>
                <w:lang w:val="en-US" w:eastAsia="zh-CN"/>
              </w:rPr>
              <w:t>氮氧化物</w:t>
            </w:r>
          </w:p>
        </w:tc>
        <w:tc>
          <w:tcPr>
            <w:tcW w:w="1066" w:type="pct"/>
            <w:tcBorders>
              <w:tl2br w:val="nil"/>
              <w:tr2bl w:val="nil"/>
            </w:tcBorders>
            <w:noWrap w:val="0"/>
            <w:vAlign w:val="center"/>
          </w:tcPr>
          <w:p w14:paraId="599E36D2">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rPr>
            </w:pPr>
            <w:r>
              <w:rPr>
                <w:rFonts w:hint="default" w:ascii="Times New Roman" w:hAnsi="Times New Roman" w:eastAsia="仿宋" w:cs="Times New Roman"/>
                <w:caps w:val="0"/>
                <w:color w:val="auto"/>
                <w:spacing w:val="-4"/>
                <w:kern w:val="2"/>
                <w:sz w:val="21"/>
                <w:szCs w:val="21"/>
                <w:highlight w:val="none"/>
              </w:rPr>
              <w:t>周界外浓度最高点</w:t>
            </w:r>
          </w:p>
        </w:tc>
        <w:tc>
          <w:tcPr>
            <w:tcW w:w="735" w:type="pct"/>
            <w:tcBorders>
              <w:tl2br w:val="nil"/>
              <w:tr2bl w:val="nil"/>
            </w:tcBorders>
            <w:noWrap w:val="0"/>
            <w:vAlign w:val="center"/>
          </w:tcPr>
          <w:p w14:paraId="72583811">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lang w:val="en-US" w:eastAsia="zh-CN"/>
              </w:rPr>
            </w:pPr>
            <w:r>
              <w:rPr>
                <w:rFonts w:hint="default" w:ascii="Times New Roman" w:hAnsi="Times New Roman" w:eastAsia="仿宋" w:cs="Times New Roman"/>
                <w:caps w:val="0"/>
                <w:color w:val="auto"/>
                <w:spacing w:val="-4"/>
                <w:kern w:val="2"/>
                <w:sz w:val="21"/>
                <w:szCs w:val="21"/>
                <w:highlight w:val="none"/>
                <w:lang w:val="en-US" w:eastAsia="zh-CN"/>
              </w:rPr>
              <w:t>0.12</w:t>
            </w:r>
          </w:p>
        </w:tc>
        <w:tc>
          <w:tcPr>
            <w:tcW w:w="2407" w:type="pct"/>
            <w:vMerge w:val="continue"/>
            <w:tcBorders>
              <w:tl2br w:val="nil"/>
              <w:tr2bl w:val="nil"/>
            </w:tcBorders>
            <w:noWrap w:val="0"/>
            <w:vAlign w:val="center"/>
          </w:tcPr>
          <w:p w14:paraId="540C6C89">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aps w:val="0"/>
                <w:color w:val="auto"/>
                <w:kern w:val="2"/>
                <w:sz w:val="21"/>
                <w:szCs w:val="21"/>
                <w:highlight w:val="none"/>
              </w:rPr>
            </w:pPr>
          </w:p>
        </w:tc>
      </w:tr>
      <w:tr w14:paraId="231F8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0" w:type="pct"/>
            <w:tcBorders>
              <w:tl2br w:val="nil"/>
              <w:tr2bl w:val="nil"/>
            </w:tcBorders>
            <w:noWrap w:val="0"/>
            <w:vAlign w:val="center"/>
          </w:tcPr>
          <w:p w14:paraId="0B731845">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kern w:val="2"/>
                <w:sz w:val="21"/>
                <w:szCs w:val="21"/>
                <w:highlight w:val="none"/>
              </w:rPr>
            </w:pPr>
            <w:r>
              <w:rPr>
                <w:rFonts w:hint="default" w:ascii="Times New Roman" w:hAnsi="Times New Roman" w:eastAsia="仿宋" w:cs="Times New Roman"/>
                <w:caps w:val="0"/>
                <w:color w:val="auto"/>
                <w:spacing w:val="-4"/>
                <w:kern w:val="2"/>
                <w:sz w:val="21"/>
                <w:szCs w:val="21"/>
                <w:highlight w:val="none"/>
              </w:rPr>
              <w:t>非甲烷总烃</w:t>
            </w:r>
          </w:p>
        </w:tc>
        <w:tc>
          <w:tcPr>
            <w:tcW w:w="1066" w:type="pct"/>
            <w:tcBorders>
              <w:tl2br w:val="nil"/>
              <w:tr2bl w:val="nil"/>
            </w:tcBorders>
            <w:noWrap w:val="0"/>
            <w:vAlign w:val="center"/>
          </w:tcPr>
          <w:p w14:paraId="49C3B623">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kern w:val="2"/>
                <w:sz w:val="21"/>
                <w:szCs w:val="21"/>
                <w:highlight w:val="none"/>
              </w:rPr>
            </w:pPr>
            <w:r>
              <w:rPr>
                <w:rFonts w:hint="default" w:ascii="Times New Roman" w:hAnsi="Times New Roman" w:eastAsia="仿宋" w:cs="Times New Roman"/>
                <w:caps w:val="0"/>
                <w:color w:val="auto"/>
                <w:spacing w:val="-4"/>
                <w:kern w:val="2"/>
                <w:sz w:val="21"/>
                <w:szCs w:val="21"/>
                <w:highlight w:val="none"/>
              </w:rPr>
              <w:t>周界外浓度最高点</w:t>
            </w:r>
          </w:p>
        </w:tc>
        <w:tc>
          <w:tcPr>
            <w:tcW w:w="735" w:type="pct"/>
            <w:tcBorders>
              <w:tl2br w:val="nil"/>
              <w:tr2bl w:val="nil"/>
            </w:tcBorders>
            <w:noWrap w:val="0"/>
            <w:vAlign w:val="center"/>
          </w:tcPr>
          <w:p w14:paraId="6FA1753A">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kern w:val="2"/>
                <w:sz w:val="21"/>
                <w:szCs w:val="21"/>
                <w:highlight w:val="none"/>
              </w:rPr>
            </w:pPr>
            <w:r>
              <w:rPr>
                <w:rFonts w:hint="default" w:ascii="Times New Roman" w:hAnsi="Times New Roman" w:eastAsia="仿宋" w:cs="Times New Roman"/>
                <w:caps w:val="0"/>
                <w:color w:val="auto"/>
                <w:spacing w:val="-4"/>
                <w:kern w:val="2"/>
                <w:sz w:val="21"/>
                <w:szCs w:val="21"/>
                <w:highlight w:val="none"/>
              </w:rPr>
              <w:t>4.0</w:t>
            </w:r>
          </w:p>
        </w:tc>
        <w:tc>
          <w:tcPr>
            <w:tcW w:w="2407" w:type="pct"/>
            <w:vMerge w:val="continue"/>
            <w:tcBorders>
              <w:tl2br w:val="nil"/>
              <w:tr2bl w:val="nil"/>
            </w:tcBorders>
            <w:noWrap w:val="0"/>
            <w:vAlign w:val="center"/>
          </w:tcPr>
          <w:p w14:paraId="7892BA56">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aps w:val="0"/>
                <w:color w:val="auto"/>
                <w:kern w:val="2"/>
                <w:sz w:val="21"/>
                <w:szCs w:val="21"/>
                <w:highlight w:val="none"/>
              </w:rPr>
            </w:pPr>
          </w:p>
        </w:tc>
      </w:tr>
      <w:tr w14:paraId="2A55CB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90" w:type="pct"/>
            <w:tcBorders>
              <w:tl2br w:val="nil"/>
              <w:tr2bl w:val="nil"/>
            </w:tcBorders>
            <w:noWrap w:val="0"/>
            <w:vAlign w:val="center"/>
          </w:tcPr>
          <w:p w14:paraId="2BCD4BA5">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lang w:val="en-US" w:eastAsia="zh-CN"/>
              </w:rPr>
            </w:pPr>
            <w:r>
              <w:rPr>
                <w:rFonts w:hint="default" w:ascii="Times New Roman" w:hAnsi="Times New Roman" w:eastAsia="仿宋" w:cs="Times New Roman"/>
                <w:caps w:val="0"/>
                <w:color w:val="auto"/>
                <w:spacing w:val="-4"/>
                <w:kern w:val="2"/>
                <w:sz w:val="21"/>
                <w:szCs w:val="21"/>
                <w:highlight w:val="none"/>
                <w:lang w:val="en-US" w:eastAsia="zh-CN"/>
              </w:rPr>
              <w:t>甲醇</w:t>
            </w:r>
          </w:p>
        </w:tc>
        <w:tc>
          <w:tcPr>
            <w:tcW w:w="1066" w:type="pct"/>
            <w:tcBorders>
              <w:tl2br w:val="nil"/>
              <w:tr2bl w:val="nil"/>
            </w:tcBorders>
            <w:noWrap w:val="0"/>
            <w:vAlign w:val="center"/>
          </w:tcPr>
          <w:p w14:paraId="6273013D">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rPr>
            </w:pPr>
            <w:r>
              <w:rPr>
                <w:rFonts w:hint="default" w:ascii="Times New Roman" w:hAnsi="Times New Roman" w:eastAsia="仿宋" w:cs="Times New Roman"/>
                <w:caps w:val="0"/>
                <w:color w:val="auto"/>
                <w:spacing w:val="-4"/>
                <w:kern w:val="2"/>
                <w:sz w:val="21"/>
                <w:szCs w:val="21"/>
                <w:highlight w:val="none"/>
              </w:rPr>
              <w:t>周界外浓度最高点</w:t>
            </w:r>
          </w:p>
        </w:tc>
        <w:tc>
          <w:tcPr>
            <w:tcW w:w="735" w:type="pct"/>
            <w:tcBorders>
              <w:tl2br w:val="nil"/>
              <w:tr2bl w:val="nil"/>
            </w:tcBorders>
            <w:noWrap w:val="0"/>
            <w:vAlign w:val="center"/>
          </w:tcPr>
          <w:p w14:paraId="7DA50E8D">
            <w:pPr>
              <w:widowControl/>
              <w:shd w:val="clear" w:color="auto" w:fill="auto"/>
              <w:adjustRightInd/>
              <w:snapToGrid/>
              <w:spacing w:before="0" w:beforeAutospacing="0" w:after="0" w:afterAutospacing="0" w:line="240" w:lineRule="atLeast"/>
              <w:ind w:left="0" w:right="0" w:firstLine="0" w:firstLineChars="0"/>
              <w:jc w:val="center"/>
              <w:textAlignment w:val="auto"/>
              <w:rPr>
                <w:rFonts w:hint="default" w:ascii="Times New Roman" w:hAnsi="Times New Roman" w:eastAsia="仿宋" w:cs="Times New Roman"/>
                <w:caps w:val="0"/>
                <w:color w:val="auto"/>
                <w:spacing w:val="-4"/>
                <w:kern w:val="2"/>
                <w:sz w:val="21"/>
                <w:szCs w:val="21"/>
                <w:highlight w:val="none"/>
                <w:lang w:val="en-US" w:eastAsia="zh-CN"/>
              </w:rPr>
            </w:pPr>
            <w:r>
              <w:rPr>
                <w:rFonts w:hint="default" w:ascii="Times New Roman" w:hAnsi="Times New Roman" w:eastAsia="仿宋" w:cs="Times New Roman"/>
                <w:caps w:val="0"/>
                <w:color w:val="auto"/>
                <w:spacing w:val="-4"/>
                <w:kern w:val="2"/>
                <w:sz w:val="21"/>
                <w:szCs w:val="21"/>
                <w:highlight w:val="none"/>
                <w:lang w:val="en-US" w:eastAsia="zh-CN"/>
              </w:rPr>
              <w:t>12</w:t>
            </w:r>
          </w:p>
        </w:tc>
        <w:tc>
          <w:tcPr>
            <w:tcW w:w="2407" w:type="pct"/>
            <w:vMerge w:val="continue"/>
            <w:tcBorders>
              <w:tl2br w:val="nil"/>
              <w:tr2bl w:val="nil"/>
            </w:tcBorders>
            <w:noWrap w:val="0"/>
            <w:vAlign w:val="center"/>
          </w:tcPr>
          <w:p w14:paraId="401C0858">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aps w:val="0"/>
                <w:color w:val="auto"/>
                <w:kern w:val="2"/>
                <w:sz w:val="21"/>
                <w:szCs w:val="21"/>
                <w:highlight w:val="none"/>
              </w:rPr>
            </w:pPr>
          </w:p>
        </w:tc>
      </w:tr>
      <w:tr w14:paraId="375EE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90" w:type="pct"/>
            <w:tcBorders>
              <w:tl2br w:val="nil"/>
              <w:tr2bl w:val="nil"/>
            </w:tcBorders>
            <w:noWrap w:val="0"/>
            <w:vAlign w:val="center"/>
          </w:tcPr>
          <w:p w14:paraId="6D21BDA5">
            <w:pPr>
              <w:widowControl w:val="0"/>
              <w:adjustRightInd/>
              <w:snapToGrid/>
              <w:spacing w:after="0" w:line="240" w:lineRule="atLeast"/>
              <w:jc w:val="center"/>
              <w:rPr>
                <w:rFonts w:hint="default" w:ascii="Times New Roman" w:hAnsi="Times New Roman" w:eastAsia="仿宋" w:cs="Times New Roman"/>
                <w:caps w:val="0"/>
                <w:color w:val="auto"/>
                <w:spacing w:val="-4"/>
                <w:kern w:val="2"/>
                <w:sz w:val="21"/>
                <w:szCs w:val="21"/>
                <w:highlight w:val="none"/>
              </w:rPr>
            </w:pPr>
            <w:r>
              <w:rPr>
                <w:rFonts w:hint="default" w:ascii="Times New Roman" w:hAnsi="Times New Roman" w:eastAsia="仿宋" w:cs="Times New Roman"/>
                <w:color w:val="auto"/>
                <w:spacing w:val="-4"/>
                <w:kern w:val="2"/>
                <w:sz w:val="21"/>
                <w:szCs w:val="21"/>
              </w:rPr>
              <w:t>氨</w:t>
            </w:r>
          </w:p>
        </w:tc>
        <w:tc>
          <w:tcPr>
            <w:tcW w:w="1066" w:type="pct"/>
            <w:vMerge w:val="restart"/>
            <w:tcBorders>
              <w:tl2br w:val="nil"/>
              <w:tr2bl w:val="nil"/>
            </w:tcBorders>
            <w:noWrap w:val="0"/>
            <w:vAlign w:val="center"/>
          </w:tcPr>
          <w:p w14:paraId="6086C8E3">
            <w:pPr>
              <w:widowControl w:val="0"/>
              <w:adjustRightInd/>
              <w:snapToGrid/>
              <w:spacing w:after="0" w:line="240" w:lineRule="atLeast"/>
              <w:jc w:val="center"/>
              <w:rPr>
                <w:rFonts w:hint="default" w:ascii="Times New Roman" w:hAnsi="Times New Roman" w:eastAsia="仿宋" w:cs="Times New Roman"/>
                <w:caps w:val="0"/>
                <w:color w:val="auto"/>
                <w:spacing w:val="-4"/>
                <w:kern w:val="2"/>
                <w:sz w:val="21"/>
                <w:szCs w:val="21"/>
                <w:highlight w:val="none"/>
              </w:rPr>
            </w:pPr>
            <w:r>
              <w:rPr>
                <w:rFonts w:hint="default" w:ascii="Times New Roman" w:hAnsi="Times New Roman" w:eastAsia="仿宋" w:cs="Times New Roman"/>
                <w:color w:val="auto"/>
                <w:spacing w:val="-4"/>
                <w:kern w:val="2"/>
                <w:sz w:val="21"/>
                <w:szCs w:val="21"/>
              </w:rPr>
              <w:t>恶臭污染物厂界标准值</w:t>
            </w:r>
          </w:p>
        </w:tc>
        <w:tc>
          <w:tcPr>
            <w:tcW w:w="735" w:type="pct"/>
            <w:tcBorders>
              <w:tl2br w:val="nil"/>
              <w:tr2bl w:val="nil"/>
            </w:tcBorders>
            <w:noWrap w:val="0"/>
            <w:vAlign w:val="center"/>
          </w:tcPr>
          <w:p w14:paraId="5509FB23">
            <w:pPr>
              <w:widowControl w:val="0"/>
              <w:adjustRightInd/>
              <w:snapToGrid/>
              <w:spacing w:after="0" w:line="240" w:lineRule="atLeast"/>
              <w:jc w:val="center"/>
              <w:rPr>
                <w:rFonts w:hint="default" w:ascii="Times New Roman" w:hAnsi="Times New Roman" w:eastAsia="仿宋" w:cs="Times New Roman"/>
                <w:caps w:val="0"/>
                <w:color w:val="auto"/>
                <w:spacing w:val="-4"/>
                <w:kern w:val="2"/>
                <w:sz w:val="21"/>
                <w:szCs w:val="21"/>
                <w:highlight w:val="none"/>
              </w:rPr>
            </w:pPr>
            <w:r>
              <w:rPr>
                <w:rFonts w:hint="default" w:ascii="Times New Roman" w:hAnsi="Times New Roman" w:eastAsia="仿宋" w:cs="Times New Roman"/>
                <w:color w:val="auto"/>
                <w:spacing w:val="-4"/>
                <w:kern w:val="2"/>
                <w:sz w:val="21"/>
                <w:szCs w:val="21"/>
              </w:rPr>
              <w:t>1.5</w:t>
            </w:r>
          </w:p>
        </w:tc>
        <w:tc>
          <w:tcPr>
            <w:tcW w:w="2407" w:type="pct"/>
            <w:vMerge w:val="restart"/>
            <w:tcBorders>
              <w:tl2br w:val="nil"/>
              <w:tr2bl w:val="nil"/>
            </w:tcBorders>
            <w:noWrap w:val="0"/>
            <w:vAlign w:val="center"/>
          </w:tcPr>
          <w:p w14:paraId="055BB80D">
            <w:pPr>
              <w:widowControl w:val="0"/>
              <w:adjustRightInd/>
              <w:snapToGrid/>
              <w:spacing w:after="0" w:line="240" w:lineRule="atLeast"/>
              <w:jc w:val="center"/>
              <w:textAlignment w:val="baseline"/>
              <w:rPr>
                <w:rFonts w:hint="default" w:ascii="Times New Roman" w:hAnsi="Times New Roman" w:eastAsia="仿宋" w:cs="Times New Roman"/>
                <w:caps w:val="0"/>
                <w:color w:val="auto"/>
                <w:kern w:val="2"/>
                <w:sz w:val="21"/>
                <w:szCs w:val="21"/>
                <w:highlight w:val="none"/>
              </w:rPr>
            </w:pPr>
            <w:r>
              <w:rPr>
                <w:rFonts w:hint="default" w:ascii="Times New Roman" w:hAnsi="Times New Roman" w:eastAsia="仿宋" w:cs="Times New Roman"/>
                <w:color w:val="auto"/>
                <w:spacing w:val="-4"/>
                <w:kern w:val="2"/>
                <w:sz w:val="21"/>
                <w:szCs w:val="21"/>
              </w:rPr>
              <w:t>《恶臭污染物排放标准》（GB14554-93）</w:t>
            </w:r>
          </w:p>
        </w:tc>
      </w:tr>
      <w:tr w14:paraId="078C2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90" w:type="pct"/>
            <w:noWrap w:val="0"/>
            <w:vAlign w:val="center"/>
          </w:tcPr>
          <w:p w14:paraId="5C4AFAE4">
            <w:pPr>
              <w:widowControl w:val="0"/>
              <w:adjustRightInd/>
              <w:snapToGrid/>
              <w:spacing w:after="0" w:line="240" w:lineRule="atLeast"/>
              <w:jc w:val="center"/>
              <w:rPr>
                <w:rFonts w:hint="default" w:ascii="Times New Roman" w:hAnsi="Times New Roman" w:eastAsia="仿宋" w:cs="Times New Roman"/>
                <w:caps w:val="0"/>
                <w:color w:val="auto"/>
                <w:spacing w:val="-4"/>
                <w:kern w:val="2"/>
                <w:sz w:val="21"/>
                <w:szCs w:val="21"/>
                <w:highlight w:val="none"/>
              </w:rPr>
            </w:pPr>
            <w:r>
              <w:rPr>
                <w:rFonts w:hint="default" w:ascii="Times New Roman" w:hAnsi="Times New Roman" w:eastAsia="仿宋" w:cs="Times New Roman"/>
                <w:color w:val="auto"/>
                <w:spacing w:val="-4"/>
                <w:kern w:val="2"/>
                <w:sz w:val="21"/>
                <w:szCs w:val="21"/>
              </w:rPr>
              <w:t>硫化氢</w:t>
            </w:r>
          </w:p>
        </w:tc>
        <w:tc>
          <w:tcPr>
            <w:tcW w:w="1066" w:type="pct"/>
            <w:vMerge w:val="continue"/>
            <w:noWrap w:val="0"/>
            <w:vAlign w:val="center"/>
          </w:tcPr>
          <w:p w14:paraId="76EBDE0D">
            <w:pPr>
              <w:widowControl w:val="0"/>
              <w:adjustRightInd/>
              <w:snapToGrid/>
              <w:spacing w:after="0" w:line="240" w:lineRule="atLeast"/>
              <w:jc w:val="center"/>
              <w:rPr>
                <w:rFonts w:hint="default" w:ascii="Times New Roman" w:hAnsi="Times New Roman" w:eastAsia="仿宋" w:cs="Times New Roman"/>
                <w:caps w:val="0"/>
                <w:color w:val="auto"/>
                <w:spacing w:val="-4"/>
                <w:kern w:val="2"/>
                <w:sz w:val="21"/>
                <w:szCs w:val="21"/>
                <w:highlight w:val="none"/>
              </w:rPr>
            </w:pPr>
          </w:p>
        </w:tc>
        <w:tc>
          <w:tcPr>
            <w:tcW w:w="735" w:type="pct"/>
            <w:noWrap w:val="0"/>
            <w:vAlign w:val="center"/>
          </w:tcPr>
          <w:p w14:paraId="14656AFA">
            <w:pPr>
              <w:widowControl w:val="0"/>
              <w:adjustRightInd/>
              <w:snapToGrid/>
              <w:spacing w:after="0" w:line="240" w:lineRule="atLeast"/>
              <w:jc w:val="center"/>
              <w:rPr>
                <w:rFonts w:hint="default" w:ascii="Times New Roman" w:hAnsi="Times New Roman" w:eastAsia="仿宋" w:cs="Times New Roman"/>
                <w:caps w:val="0"/>
                <w:color w:val="auto"/>
                <w:spacing w:val="-4"/>
                <w:kern w:val="2"/>
                <w:sz w:val="21"/>
                <w:szCs w:val="21"/>
                <w:highlight w:val="none"/>
              </w:rPr>
            </w:pPr>
            <w:r>
              <w:rPr>
                <w:rFonts w:hint="default" w:ascii="Times New Roman" w:hAnsi="Times New Roman" w:eastAsia="仿宋" w:cs="Times New Roman"/>
                <w:color w:val="auto"/>
                <w:spacing w:val="-4"/>
                <w:kern w:val="2"/>
                <w:sz w:val="21"/>
                <w:szCs w:val="21"/>
              </w:rPr>
              <w:t>0.06</w:t>
            </w:r>
          </w:p>
        </w:tc>
        <w:tc>
          <w:tcPr>
            <w:tcW w:w="2407" w:type="pct"/>
            <w:vMerge w:val="continue"/>
            <w:noWrap w:val="0"/>
            <w:vAlign w:val="top"/>
          </w:tcPr>
          <w:p w14:paraId="0FABCAA1">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aps w:val="0"/>
                <w:color w:val="auto"/>
                <w:kern w:val="2"/>
                <w:sz w:val="21"/>
                <w:szCs w:val="21"/>
                <w:highlight w:val="none"/>
              </w:rPr>
            </w:pPr>
          </w:p>
        </w:tc>
      </w:tr>
      <w:tr w14:paraId="67FAC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jc w:val="center"/>
        </w:trPr>
        <w:tc>
          <w:tcPr>
            <w:tcW w:w="790" w:type="pct"/>
            <w:noWrap w:val="0"/>
            <w:vAlign w:val="center"/>
          </w:tcPr>
          <w:p w14:paraId="0C9A2B3E">
            <w:pPr>
              <w:widowControl w:val="0"/>
              <w:adjustRightInd/>
              <w:snapToGrid/>
              <w:spacing w:after="0" w:line="240" w:lineRule="atLeast"/>
              <w:jc w:val="center"/>
              <w:rPr>
                <w:rFonts w:hint="default" w:ascii="Times New Roman" w:hAnsi="Times New Roman" w:eastAsia="仿宋" w:cs="Times New Roman"/>
                <w:caps w:val="0"/>
                <w:color w:val="auto"/>
                <w:spacing w:val="-4"/>
                <w:kern w:val="2"/>
                <w:sz w:val="21"/>
                <w:szCs w:val="21"/>
                <w:highlight w:val="none"/>
              </w:rPr>
            </w:pPr>
            <w:r>
              <w:rPr>
                <w:rFonts w:hint="default" w:ascii="Times New Roman" w:hAnsi="Times New Roman" w:eastAsia="仿宋" w:cs="Times New Roman"/>
                <w:color w:val="auto"/>
                <w:spacing w:val="-4"/>
                <w:kern w:val="2"/>
                <w:sz w:val="21"/>
                <w:szCs w:val="21"/>
              </w:rPr>
              <w:t>臭气浓度</w:t>
            </w:r>
          </w:p>
        </w:tc>
        <w:tc>
          <w:tcPr>
            <w:tcW w:w="1066" w:type="pct"/>
            <w:vMerge w:val="continue"/>
            <w:noWrap w:val="0"/>
            <w:vAlign w:val="center"/>
          </w:tcPr>
          <w:p w14:paraId="31CA74EA">
            <w:pPr>
              <w:widowControl w:val="0"/>
              <w:adjustRightInd/>
              <w:snapToGrid/>
              <w:spacing w:after="0" w:line="240" w:lineRule="atLeast"/>
              <w:jc w:val="center"/>
              <w:rPr>
                <w:rFonts w:hint="default" w:ascii="Times New Roman" w:hAnsi="Times New Roman" w:eastAsia="仿宋" w:cs="Times New Roman"/>
                <w:caps w:val="0"/>
                <w:color w:val="auto"/>
                <w:spacing w:val="-4"/>
                <w:kern w:val="2"/>
                <w:sz w:val="21"/>
                <w:szCs w:val="21"/>
                <w:highlight w:val="none"/>
              </w:rPr>
            </w:pPr>
          </w:p>
        </w:tc>
        <w:tc>
          <w:tcPr>
            <w:tcW w:w="735" w:type="pct"/>
            <w:noWrap w:val="0"/>
            <w:vAlign w:val="center"/>
          </w:tcPr>
          <w:p w14:paraId="7EE28435">
            <w:pPr>
              <w:widowControl w:val="0"/>
              <w:adjustRightInd/>
              <w:snapToGrid/>
              <w:spacing w:after="0" w:line="240" w:lineRule="atLeast"/>
              <w:jc w:val="center"/>
              <w:rPr>
                <w:rFonts w:hint="default" w:ascii="Times New Roman" w:hAnsi="Times New Roman" w:eastAsia="仿宋" w:cs="Times New Roman"/>
                <w:caps w:val="0"/>
                <w:color w:val="auto"/>
                <w:spacing w:val="-4"/>
                <w:kern w:val="2"/>
                <w:sz w:val="21"/>
                <w:szCs w:val="21"/>
                <w:highlight w:val="none"/>
              </w:rPr>
            </w:pPr>
            <w:r>
              <w:rPr>
                <w:rFonts w:hint="default" w:ascii="Times New Roman" w:hAnsi="Times New Roman" w:eastAsia="仿宋" w:cs="Times New Roman"/>
                <w:color w:val="auto"/>
                <w:spacing w:val="-4"/>
                <w:kern w:val="2"/>
                <w:sz w:val="21"/>
                <w:szCs w:val="21"/>
              </w:rPr>
              <w:t>20</w:t>
            </w:r>
            <w:r>
              <w:rPr>
                <w:rFonts w:hint="default" w:ascii="Times New Roman" w:hAnsi="Times New Roman" w:eastAsia="仿宋" w:cs="Times New Roman"/>
                <w:color w:val="auto"/>
                <w:spacing w:val="-4"/>
                <w:kern w:val="2"/>
                <w:sz w:val="21"/>
                <w:szCs w:val="21"/>
                <w:lang w:eastAsia="zh-CN"/>
              </w:rPr>
              <w:t>（</w:t>
            </w:r>
            <w:r>
              <w:rPr>
                <w:rFonts w:hint="default" w:ascii="Times New Roman" w:hAnsi="Times New Roman" w:eastAsia="仿宋" w:cs="Times New Roman"/>
                <w:color w:val="auto"/>
                <w:spacing w:val="-4"/>
                <w:kern w:val="2"/>
                <w:sz w:val="21"/>
                <w:szCs w:val="21"/>
                <w:lang w:val="en-US" w:eastAsia="zh-CN"/>
              </w:rPr>
              <w:t>无量纲</w:t>
            </w:r>
            <w:r>
              <w:rPr>
                <w:rFonts w:hint="default" w:ascii="Times New Roman" w:hAnsi="Times New Roman" w:eastAsia="仿宋" w:cs="Times New Roman"/>
                <w:color w:val="auto"/>
                <w:spacing w:val="-4"/>
                <w:kern w:val="2"/>
                <w:sz w:val="21"/>
                <w:szCs w:val="21"/>
                <w:lang w:eastAsia="zh-CN"/>
              </w:rPr>
              <w:t>）</w:t>
            </w:r>
          </w:p>
        </w:tc>
        <w:tc>
          <w:tcPr>
            <w:tcW w:w="2407" w:type="pct"/>
            <w:vMerge w:val="continue"/>
            <w:noWrap w:val="0"/>
            <w:vAlign w:val="top"/>
          </w:tcPr>
          <w:p w14:paraId="2C9A9056">
            <w:pPr>
              <w:widowControl/>
              <w:shd w:val="clear" w:color="auto" w:fill="auto"/>
              <w:adjustRightInd/>
              <w:snapToGrid/>
              <w:spacing w:before="0" w:beforeAutospacing="0" w:after="0" w:afterAutospacing="0" w:line="240" w:lineRule="auto"/>
              <w:ind w:left="0" w:right="0" w:firstLine="0" w:firstLineChars="0"/>
              <w:jc w:val="center"/>
              <w:textAlignment w:val="auto"/>
              <w:rPr>
                <w:rFonts w:hint="default" w:ascii="Times New Roman" w:hAnsi="Times New Roman" w:eastAsia="仿宋" w:cs="Times New Roman"/>
                <w:caps w:val="0"/>
                <w:color w:val="auto"/>
                <w:kern w:val="2"/>
                <w:sz w:val="21"/>
                <w:szCs w:val="21"/>
                <w:highlight w:val="none"/>
              </w:rPr>
            </w:pPr>
          </w:p>
        </w:tc>
      </w:tr>
    </w:tbl>
    <w:p w14:paraId="70D4F9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eastAsia" w:ascii="Times New Roman" w:hAnsi="Times New Roman" w:eastAsia="宋体" w:cs="Times New Roman"/>
          <w:b/>
          <w:bCs/>
          <w:sz w:val="24"/>
          <w:szCs w:val="24"/>
          <w:lang w:eastAsia="zh-CN"/>
        </w:rPr>
      </w:pPr>
      <w:r>
        <w:rPr>
          <w:rFonts w:hint="eastAsia" w:ascii="Times New Roman" w:hAnsi="Times New Roman" w:eastAsia="宋体" w:cs="Times New Roman"/>
          <w:b/>
          <w:bCs/>
          <w:kern w:val="2"/>
          <w:sz w:val="24"/>
          <w:szCs w:val="24"/>
          <w:lang w:val="en-US" w:eastAsia="zh-CN" w:bidi="ar-SA"/>
        </w:rPr>
        <w:t>2、</w:t>
      </w:r>
      <w:r>
        <w:rPr>
          <w:rFonts w:hint="default" w:ascii="Times New Roman" w:hAnsi="Times New Roman" w:eastAsia="宋体" w:cs="Times New Roman"/>
          <w:b/>
          <w:bCs/>
          <w:sz w:val="24"/>
          <w:szCs w:val="24"/>
        </w:rPr>
        <w:t>废水</w:t>
      </w:r>
    </w:p>
    <w:p w14:paraId="5D32C03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根据企业各股废水的水质特点，可分为高盐废水、高浓废水、低浓废水</w:t>
      </w:r>
      <w:r>
        <w:rPr>
          <w:rFonts w:hint="eastAsia" w:ascii="Times New Roman" w:hAnsi="Times New Roman" w:eastAsia="宋体" w:cs="Times New Roman"/>
          <w:sz w:val="24"/>
          <w:szCs w:val="24"/>
          <w:lang w:val="en-US" w:eastAsia="zh-CN"/>
        </w:rPr>
        <w:t>，</w:t>
      </w:r>
      <w:r>
        <w:rPr>
          <w:rFonts w:hint="default" w:ascii="Times New Roman" w:hAnsi="Times New Roman" w:eastAsia="宋体" w:cs="Times New Roman"/>
          <w:sz w:val="24"/>
          <w:szCs w:val="24"/>
          <w:lang w:val="en-US" w:eastAsia="zh-CN"/>
        </w:rPr>
        <w:t>其中</w:t>
      </w:r>
      <w:r>
        <w:rPr>
          <w:rFonts w:hint="eastAsia" w:ascii="Times New Roman" w:hAnsi="Times New Roman" w:eastAsia="宋体" w:cs="Times New Roman"/>
          <w:sz w:val="24"/>
          <w:szCs w:val="24"/>
          <w:lang w:val="en-US" w:eastAsia="zh-CN"/>
        </w:rPr>
        <w:t>：</w:t>
      </w:r>
    </w:p>
    <w:p w14:paraId="56276C94">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高盐水废水收集后经车间反应釜蒸发预处理+厂区预处理（pH调节+铁碳微电解+芬顿氧化+混凝沉淀）+生化处理（生化调节+水解酸化+厌氧池+沉淀池+二级A/O+沉淀池）处理达标后排入园区污水处理站；</w:t>
      </w:r>
    </w:p>
    <w:p w14:paraId="060D884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lang w:val="en-US" w:eastAsia="zh-CN"/>
        </w:rPr>
        <w:t>高浓废水经厂区预处理（pH调节+铁碳微电解+芬顿氧化+混凝沉淀）+生化处理（生化调节+水解酸化+厌氧池+沉淀池+二级A/O+沉淀池）处理达标后排入园区污水处理站；</w:t>
      </w:r>
    </w:p>
    <w:p w14:paraId="25F610B5">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lang w:val="en-US" w:eastAsia="zh-CN"/>
        </w:rPr>
        <w:t>低浓废水经</w:t>
      </w:r>
      <w:r>
        <w:rPr>
          <w:rFonts w:hint="default" w:ascii="Times New Roman" w:hAnsi="Times New Roman" w:eastAsia="宋体" w:cs="Times New Roman"/>
          <w:sz w:val="24"/>
          <w:szCs w:val="24"/>
          <w:lang w:eastAsia="zh-CN"/>
        </w:rPr>
        <w:t>收集后经</w:t>
      </w:r>
      <w:r>
        <w:rPr>
          <w:rFonts w:hint="default" w:ascii="Times New Roman" w:hAnsi="Times New Roman" w:eastAsia="宋体" w:cs="Times New Roman"/>
          <w:sz w:val="24"/>
          <w:szCs w:val="24"/>
          <w:lang w:val="en-US" w:eastAsia="zh-CN"/>
        </w:rPr>
        <w:t>厂区生化处理（生化调节+水解酸化+厌氧池+沉淀池+二级A/O+沉淀池）处理达标后排入园区污水处理站。</w:t>
      </w:r>
    </w:p>
    <w:p w14:paraId="3CFFAF2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废水污染物pH、COD、氨氮、总氮、总磷、悬浮物、石油类、色度、溶解性总固体等常规污染物执行《兰州新区石化产业投资集团有限公司关于更新报备兰州新区化工园区企业废水间接排放纳管限值的报告》（新石化呈〔2024〕233号）表1间排纳管限值（本项目执行高浓废水纳管限值）”限值要求；氯化物、丙酮、硫酸盐、BOD5、动植物油、硫化物、总铜、TOC等污染物执行《污水综合排放标准》（GB8978-1996）三级标准限值要求；急性毒性执行《化学合成类制药工业水污染物排放标准》（GB21904-2008）限值要求。</w:t>
      </w:r>
    </w:p>
    <w:p w14:paraId="2C449871">
      <w:pPr>
        <w:keepNext w:val="0"/>
        <w:keepLines w:val="0"/>
        <w:pageBreakBefore w:val="0"/>
        <w:widowControl/>
        <w:kinsoku/>
        <w:wordWrap/>
        <w:overflowPunct/>
        <w:topLinePunct w:val="0"/>
        <w:autoSpaceDE/>
        <w:autoSpaceDN/>
        <w:bidi w:val="0"/>
        <w:adjustRightInd/>
        <w:snapToGrid/>
        <w:spacing w:after="0" w:line="360" w:lineRule="auto"/>
        <w:ind w:left="0" w:leftChars="0" w:right="0" w:firstLine="426" w:firstLineChars="183"/>
        <w:jc w:val="center"/>
        <w:textAlignment w:val="baseline"/>
        <w:outlineLvl w:val="9"/>
        <w:rPr>
          <w:rFonts w:hint="default" w:ascii="Times New Roman" w:hAnsi="Times New Roman" w:eastAsia="仿宋" w:cs="Times New Roman"/>
          <w:b/>
          <w:bCs/>
          <w:color w:val="auto"/>
          <w:spacing w:val="-4"/>
          <w:kern w:val="2"/>
          <w:sz w:val="24"/>
          <w:szCs w:val="21"/>
          <w:lang w:val="en-US" w:eastAsia="zh-CN" w:bidi="ar-SA"/>
        </w:rPr>
      </w:pPr>
      <w:r>
        <w:rPr>
          <w:rFonts w:hint="default" w:ascii="Times New Roman" w:hAnsi="Times New Roman" w:eastAsia="仿宋" w:cs="Times New Roman"/>
          <w:b/>
          <w:bCs/>
          <w:color w:val="auto"/>
          <w:spacing w:val="-4"/>
          <w:kern w:val="2"/>
          <w:sz w:val="24"/>
          <w:szCs w:val="21"/>
          <w:lang w:val="en-US" w:eastAsia="zh-CN" w:bidi="ar-SA"/>
        </w:rPr>
        <w:t>全厂废水排放标准    单位：mg/L</w:t>
      </w:r>
    </w:p>
    <w:tbl>
      <w:tblPr>
        <w:tblStyle w:val="4"/>
        <w:tblW w:w="92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0"/>
        <w:gridCol w:w="1759"/>
        <w:gridCol w:w="1760"/>
        <w:gridCol w:w="4797"/>
      </w:tblGrid>
      <w:tr w14:paraId="78848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74" w:hRule="atLeast"/>
          <w:jc w:val="center"/>
        </w:trPr>
        <w:tc>
          <w:tcPr>
            <w:tcW w:w="970" w:type="dxa"/>
            <w:tcBorders>
              <w:tl2br w:val="nil"/>
              <w:tr2bl w:val="nil"/>
            </w:tcBorders>
            <w:noWrap w:val="0"/>
            <w:vAlign w:val="center"/>
          </w:tcPr>
          <w:p w14:paraId="1E578B83">
            <w:pPr>
              <w:keepNext w:val="0"/>
              <w:keepLines w:val="0"/>
              <w:pageBreakBefore w:val="0"/>
              <w:widowControl w:val="0"/>
              <w:kinsoku/>
              <w:wordWrap/>
              <w:overflowPunct/>
              <w:topLinePunct w:val="0"/>
              <w:autoSpaceDE/>
              <w:autoSpaceDN/>
              <w:bidi w:val="0"/>
              <w:adjustRightInd w:val="0"/>
              <w:snapToGrid/>
              <w:spacing w:after="0" w:line="240" w:lineRule="auto"/>
              <w:ind w:left="0" w:right="0" w:firstLine="0" w:firstLineChars="0"/>
              <w:jc w:val="center"/>
              <w:textAlignment w:val="baseline"/>
              <w:rPr>
                <w:rFonts w:hint="default" w:ascii="Times New Roman" w:hAnsi="Times New Roman" w:eastAsia="仿宋" w:cs="Times New Roman"/>
                <w:b/>
                <w:bCs/>
                <w:color w:val="auto"/>
                <w:kern w:val="2"/>
                <w:sz w:val="21"/>
                <w:szCs w:val="21"/>
                <w:highlight w:val="none"/>
                <w:lang w:val="en-US" w:eastAsia="zh-CN" w:bidi="ar-SA"/>
              </w:rPr>
            </w:pPr>
            <w:r>
              <w:rPr>
                <w:rFonts w:hint="default" w:ascii="Times New Roman" w:hAnsi="Times New Roman" w:eastAsia="仿宋" w:cs="Times New Roman"/>
                <w:b/>
                <w:bCs/>
                <w:color w:val="auto"/>
                <w:kern w:val="2"/>
                <w:sz w:val="21"/>
                <w:szCs w:val="21"/>
                <w:highlight w:val="none"/>
                <w:lang w:val="en-US" w:eastAsia="zh-CN" w:bidi="ar-SA"/>
              </w:rPr>
              <w:t>序号</w:t>
            </w:r>
          </w:p>
        </w:tc>
        <w:tc>
          <w:tcPr>
            <w:tcW w:w="1759" w:type="dxa"/>
            <w:tcBorders>
              <w:tl2br w:val="nil"/>
              <w:tr2bl w:val="nil"/>
            </w:tcBorders>
            <w:noWrap w:val="0"/>
            <w:vAlign w:val="center"/>
          </w:tcPr>
          <w:p w14:paraId="253C4269">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b/>
                <w:bCs/>
                <w:color w:val="auto"/>
                <w:kern w:val="2"/>
                <w:sz w:val="21"/>
                <w:szCs w:val="21"/>
                <w:highlight w:val="none"/>
                <w:lang w:val="en-US" w:eastAsia="zh-CN" w:bidi="ar-SA"/>
              </w:rPr>
            </w:pPr>
            <w:r>
              <w:rPr>
                <w:rFonts w:hint="default" w:ascii="Times New Roman" w:hAnsi="Times New Roman" w:eastAsia="仿宋" w:cs="Times New Roman"/>
                <w:b/>
                <w:bCs/>
                <w:color w:val="auto"/>
                <w:kern w:val="2"/>
                <w:sz w:val="21"/>
                <w:szCs w:val="21"/>
                <w:highlight w:val="none"/>
                <w:lang w:val="en-US" w:eastAsia="zh-CN" w:bidi="ar-SA"/>
              </w:rPr>
              <w:t>污染因子</w:t>
            </w:r>
          </w:p>
        </w:tc>
        <w:tc>
          <w:tcPr>
            <w:tcW w:w="1760" w:type="dxa"/>
            <w:tcBorders>
              <w:tl2br w:val="nil"/>
              <w:tr2bl w:val="nil"/>
            </w:tcBorders>
            <w:noWrap w:val="0"/>
            <w:vAlign w:val="center"/>
          </w:tcPr>
          <w:p w14:paraId="05E071D3">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仿宋" w:cs="Times New Roman"/>
                <w:b/>
                <w:bCs/>
                <w:color w:val="auto"/>
                <w:kern w:val="2"/>
                <w:sz w:val="21"/>
                <w:szCs w:val="21"/>
                <w:lang w:val="en-US" w:eastAsia="zh-CN" w:bidi="ar-SA"/>
              </w:rPr>
            </w:pPr>
            <w:r>
              <w:rPr>
                <w:rFonts w:hint="default" w:ascii="Times New Roman" w:hAnsi="Times New Roman" w:eastAsia="仿宋" w:cs="Times New Roman"/>
                <w:b/>
                <w:bCs/>
                <w:color w:val="auto"/>
                <w:kern w:val="2"/>
                <w:sz w:val="21"/>
                <w:szCs w:val="21"/>
                <w:lang w:val="en-US" w:eastAsia="zh-CN" w:bidi="ar-SA"/>
              </w:rPr>
              <w:t>限值（mg/L）</w:t>
            </w:r>
          </w:p>
        </w:tc>
        <w:tc>
          <w:tcPr>
            <w:tcW w:w="4797" w:type="dxa"/>
            <w:tcBorders>
              <w:tl2br w:val="nil"/>
              <w:tr2bl w:val="nil"/>
            </w:tcBorders>
            <w:noWrap w:val="0"/>
            <w:vAlign w:val="center"/>
          </w:tcPr>
          <w:p w14:paraId="3318D30C">
            <w:pPr>
              <w:keepNext w:val="0"/>
              <w:keepLines w:val="0"/>
              <w:pageBreakBefore w:val="0"/>
              <w:widowControl/>
              <w:suppressLineNumbers w:val="0"/>
              <w:kinsoku/>
              <w:wordWrap/>
              <w:overflowPunct/>
              <w:topLinePunct w:val="0"/>
              <w:autoSpaceDE/>
              <w:autoSpaceDN/>
              <w:bidi w:val="0"/>
              <w:adjustRightInd/>
              <w:snapToGrid/>
              <w:spacing w:beforeAutospacing="0" w:after="0" w:afterAutospacing="0" w:line="240" w:lineRule="auto"/>
              <w:ind w:left="0" w:leftChars="0" w:right="0" w:rightChars="0" w:firstLine="0" w:firstLineChars="0"/>
              <w:jc w:val="center"/>
              <w:textAlignment w:val="auto"/>
              <w:outlineLvl w:val="9"/>
              <w:rPr>
                <w:rFonts w:hint="default" w:ascii="Times New Roman" w:hAnsi="Times New Roman" w:eastAsia="仿宋" w:cs="Times New Roman"/>
                <w:b/>
                <w:bCs/>
                <w:color w:val="auto"/>
                <w:kern w:val="2"/>
                <w:sz w:val="21"/>
                <w:szCs w:val="21"/>
                <w:lang w:val="en-US" w:eastAsia="zh-CN" w:bidi="ar-SA"/>
              </w:rPr>
            </w:pPr>
            <w:r>
              <w:rPr>
                <w:rFonts w:hint="default" w:ascii="Times New Roman" w:hAnsi="Times New Roman" w:eastAsia="仿宋" w:cs="Times New Roman"/>
                <w:b/>
                <w:bCs/>
                <w:color w:val="auto"/>
                <w:kern w:val="2"/>
                <w:sz w:val="21"/>
                <w:szCs w:val="21"/>
                <w:lang w:val="en-US" w:eastAsia="zh-CN" w:bidi="ar-SA"/>
              </w:rPr>
              <w:t>标准来源</w:t>
            </w:r>
          </w:p>
        </w:tc>
      </w:tr>
      <w:tr w14:paraId="383A6C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069233A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lang w:val="en-US" w:eastAsia="zh-CN" w:bidi="ar-SA"/>
              </w:rPr>
              <w:t>1</w:t>
            </w:r>
          </w:p>
        </w:tc>
        <w:tc>
          <w:tcPr>
            <w:tcW w:w="1759" w:type="dxa"/>
            <w:tcBorders>
              <w:tl2br w:val="nil"/>
              <w:tr2bl w:val="nil"/>
            </w:tcBorders>
            <w:noWrap w:val="0"/>
            <w:vAlign w:val="center"/>
          </w:tcPr>
          <w:p w14:paraId="14E4D538">
            <w:pPr>
              <w:keepNext w:val="0"/>
              <w:keepLines w:val="0"/>
              <w:pageBreakBefore w:val="0"/>
              <w:widowControl w:val="0"/>
              <w:kinsoku/>
              <w:wordWrap/>
              <w:overflowPunct/>
              <w:topLinePunct w:val="0"/>
              <w:autoSpaceDE/>
              <w:autoSpaceDN/>
              <w:bidi w:val="0"/>
              <w:adjustRightInd w:val="0"/>
              <w:snapToGrid/>
              <w:spacing w:after="0" w:line="240" w:lineRule="auto"/>
              <w:ind w:left="0" w:right="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pH</w:t>
            </w:r>
          </w:p>
        </w:tc>
        <w:tc>
          <w:tcPr>
            <w:tcW w:w="1760" w:type="dxa"/>
            <w:tcBorders>
              <w:tl2br w:val="nil"/>
              <w:tr2bl w:val="nil"/>
            </w:tcBorders>
            <w:noWrap w:val="0"/>
            <w:vAlign w:val="center"/>
          </w:tcPr>
          <w:p w14:paraId="55666FB3">
            <w:pPr>
              <w:keepNext w:val="0"/>
              <w:keepLines w:val="0"/>
              <w:pageBreakBefore w:val="0"/>
              <w:widowControl w:val="0"/>
              <w:kinsoku/>
              <w:wordWrap/>
              <w:overflowPunct/>
              <w:topLinePunct w:val="0"/>
              <w:autoSpaceDE/>
              <w:autoSpaceDN/>
              <w:bidi w:val="0"/>
              <w:adjustRightInd w:val="0"/>
              <w:snapToGrid/>
              <w:spacing w:after="0" w:line="240" w:lineRule="auto"/>
              <w:ind w:left="0" w:right="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6-9</w:t>
            </w:r>
          </w:p>
        </w:tc>
        <w:tc>
          <w:tcPr>
            <w:tcW w:w="4797" w:type="dxa"/>
            <w:vMerge w:val="restart"/>
            <w:tcBorders>
              <w:tl2br w:val="nil"/>
              <w:tr2bl w:val="nil"/>
            </w:tcBorders>
            <w:noWrap w:val="0"/>
            <w:vAlign w:val="center"/>
          </w:tcPr>
          <w:p w14:paraId="074CB525">
            <w:pPr>
              <w:keepNext w:val="0"/>
              <w:keepLines w:val="0"/>
              <w:pageBreakBefore w:val="0"/>
              <w:widowControl w:val="0"/>
              <w:kinsoku/>
              <w:wordWrap/>
              <w:overflowPunct/>
              <w:topLinePunct w:val="0"/>
              <w:autoSpaceDE/>
              <w:autoSpaceDN/>
              <w:bidi w:val="0"/>
              <w:adjustRightInd/>
              <w:snapToGrid/>
              <w:spacing w:after="0" w:line="240" w:lineRule="auto"/>
              <w:ind w:left="0" w:leftChars="0" w:right="0" w:rightChars="0" w:firstLine="0" w:firstLineChars="0"/>
              <w:jc w:val="center"/>
              <w:textAlignment w:val="baseline"/>
              <w:outlineLvl w:val="9"/>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《兰州新区石化产业投资集团有限公司关于更新报备兰州新区化工园区企业废水间接排放纳管限值的报告》（新石化呈〔2024〕233号）表1</w:t>
            </w:r>
          </w:p>
        </w:tc>
      </w:tr>
      <w:tr w14:paraId="1858F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482BD908">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lang w:val="en-US" w:eastAsia="zh-CN" w:bidi="ar-SA"/>
              </w:rPr>
              <w:t>2</w:t>
            </w:r>
          </w:p>
        </w:tc>
        <w:tc>
          <w:tcPr>
            <w:tcW w:w="1759" w:type="dxa"/>
            <w:tcBorders>
              <w:tl2br w:val="nil"/>
              <w:tr2bl w:val="nil"/>
            </w:tcBorders>
            <w:noWrap w:val="0"/>
            <w:vAlign w:val="center"/>
          </w:tcPr>
          <w:p w14:paraId="471AC04D">
            <w:pPr>
              <w:keepNext w:val="0"/>
              <w:keepLines w:val="0"/>
              <w:pageBreakBefore w:val="0"/>
              <w:widowControl w:val="0"/>
              <w:kinsoku/>
              <w:wordWrap/>
              <w:overflowPunct/>
              <w:topLinePunct w:val="0"/>
              <w:autoSpaceDE/>
              <w:autoSpaceDN/>
              <w:bidi w:val="0"/>
              <w:adjustRightInd w:val="0"/>
              <w:snapToGrid/>
              <w:spacing w:after="0" w:line="240" w:lineRule="auto"/>
              <w:ind w:left="0" w:right="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COD</w:t>
            </w:r>
          </w:p>
        </w:tc>
        <w:tc>
          <w:tcPr>
            <w:tcW w:w="1760" w:type="dxa"/>
            <w:tcBorders>
              <w:tl2br w:val="nil"/>
              <w:tr2bl w:val="nil"/>
            </w:tcBorders>
            <w:noWrap w:val="0"/>
            <w:vAlign w:val="center"/>
          </w:tcPr>
          <w:p w14:paraId="653B18F4">
            <w:pPr>
              <w:keepNext w:val="0"/>
              <w:keepLines w:val="0"/>
              <w:pageBreakBefore w:val="0"/>
              <w:widowControl w:val="0"/>
              <w:kinsoku/>
              <w:wordWrap/>
              <w:overflowPunct/>
              <w:topLinePunct w:val="0"/>
              <w:autoSpaceDE/>
              <w:autoSpaceDN/>
              <w:bidi w:val="0"/>
              <w:adjustRightInd w:val="0"/>
              <w:snapToGrid/>
              <w:spacing w:after="0" w:line="240" w:lineRule="auto"/>
              <w:ind w:left="0" w:right="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6500</w:t>
            </w:r>
          </w:p>
        </w:tc>
        <w:tc>
          <w:tcPr>
            <w:tcW w:w="4797" w:type="dxa"/>
            <w:vMerge w:val="continue"/>
            <w:tcBorders>
              <w:tl2br w:val="nil"/>
              <w:tr2bl w:val="nil"/>
            </w:tcBorders>
            <w:noWrap w:val="0"/>
            <w:vAlign w:val="center"/>
          </w:tcPr>
          <w:p w14:paraId="4E08761C">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01E52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5EE9BE51">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lang w:val="en-US" w:eastAsia="zh-CN" w:bidi="ar-SA"/>
              </w:rPr>
              <w:t>3</w:t>
            </w:r>
          </w:p>
        </w:tc>
        <w:tc>
          <w:tcPr>
            <w:tcW w:w="1759" w:type="dxa"/>
            <w:tcBorders>
              <w:tl2br w:val="nil"/>
              <w:tr2bl w:val="nil"/>
            </w:tcBorders>
            <w:noWrap w:val="0"/>
            <w:vAlign w:val="center"/>
          </w:tcPr>
          <w:p w14:paraId="3F4E0A8A">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氨氮</w:t>
            </w:r>
          </w:p>
        </w:tc>
        <w:tc>
          <w:tcPr>
            <w:tcW w:w="1760" w:type="dxa"/>
            <w:tcBorders>
              <w:tl2br w:val="nil"/>
              <w:tr2bl w:val="nil"/>
            </w:tcBorders>
            <w:noWrap w:val="0"/>
            <w:vAlign w:val="center"/>
          </w:tcPr>
          <w:p w14:paraId="58224C95">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50</w:t>
            </w:r>
          </w:p>
        </w:tc>
        <w:tc>
          <w:tcPr>
            <w:tcW w:w="4797" w:type="dxa"/>
            <w:vMerge w:val="continue"/>
            <w:tcBorders>
              <w:tl2br w:val="nil"/>
              <w:tr2bl w:val="nil"/>
            </w:tcBorders>
            <w:noWrap w:val="0"/>
            <w:vAlign w:val="center"/>
          </w:tcPr>
          <w:p w14:paraId="621FC229">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2553E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463A9AE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4</w:t>
            </w:r>
          </w:p>
        </w:tc>
        <w:tc>
          <w:tcPr>
            <w:tcW w:w="1759" w:type="dxa"/>
            <w:tcBorders>
              <w:tl2br w:val="nil"/>
              <w:tr2bl w:val="nil"/>
            </w:tcBorders>
            <w:noWrap w:val="0"/>
            <w:vAlign w:val="center"/>
          </w:tcPr>
          <w:p w14:paraId="39B9565C">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总氮</w:t>
            </w:r>
          </w:p>
        </w:tc>
        <w:tc>
          <w:tcPr>
            <w:tcW w:w="1760" w:type="dxa"/>
            <w:tcBorders>
              <w:tl2br w:val="nil"/>
              <w:tr2bl w:val="nil"/>
            </w:tcBorders>
            <w:noWrap w:val="0"/>
            <w:vAlign w:val="center"/>
          </w:tcPr>
          <w:p w14:paraId="379E4CE8">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70</w:t>
            </w:r>
          </w:p>
        </w:tc>
        <w:tc>
          <w:tcPr>
            <w:tcW w:w="4797" w:type="dxa"/>
            <w:vMerge w:val="continue"/>
            <w:tcBorders>
              <w:tl2br w:val="nil"/>
              <w:tr2bl w:val="nil"/>
            </w:tcBorders>
            <w:noWrap w:val="0"/>
            <w:vAlign w:val="center"/>
          </w:tcPr>
          <w:p w14:paraId="4AAD332F">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2BF9C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221A0A0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5</w:t>
            </w:r>
          </w:p>
        </w:tc>
        <w:tc>
          <w:tcPr>
            <w:tcW w:w="1759" w:type="dxa"/>
            <w:tcBorders>
              <w:tl2br w:val="nil"/>
              <w:tr2bl w:val="nil"/>
            </w:tcBorders>
            <w:noWrap w:val="0"/>
            <w:vAlign w:val="center"/>
          </w:tcPr>
          <w:p w14:paraId="06818E1D">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总磷</w:t>
            </w:r>
          </w:p>
        </w:tc>
        <w:tc>
          <w:tcPr>
            <w:tcW w:w="1760" w:type="dxa"/>
            <w:tcBorders>
              <w:tl2br w:val="nil"/>
              <w:tr2bl w:val="nil"/>
            </w:tcBorders>
            <w:noWrap w:val="0"/>
            <w:vAlign w:val="center"/>
          </w:tcPr>
          <w:p w14:paraId="35300757">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5</w:t>
            </w:r>
          </w:p>
        </w:tc>
        <w:tc>
          <w:tcPr>
            <w:tcW w:w="4797" w:type="dxa"/>
            <w:vMerge w:val="continue"/>
            <w:tcBorders>
              <w:tl2br w:val="nil"/>
              <w:tr2bl w:val="nil"/>
            </w:tcBorders>
            <w:noWrap w:val="0"/>
            <w:vAlign w:val="center"/>
          </w:tcPr>
          <w:p w14:paraId="2EBBEE61">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6D08A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6D71DC7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6</w:t>
            </w:r>
          </w:p>
        </w:tc>
        <w:tc>
          <w:tcPr>
            <w:tcW w:w="1759" w:type="dxa"/>
            <w:tcBorders>
              <w:tl2br w:val="nil"/>
              <w:tr2bl w:val="nil"/>
            </w:tcBorders>
            <w:noWrap w:val="0"/>
            <w:vAlign w:val="center"/>
          </w:tcPr>
          <w:p w14:paraId="75B6F31C">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悬浮物</w:t>
            </w:r>
          </w:p>
        </w:tc>
        <w:tc>
          <w:tcPr>
            <w:tcW w:w="1760" w:type="dxa"/>
            <w:tcBorders>
              <w:tl2br w:val="nil"/>
              <w:tr2bl w:val="nil"/>
            </w:tcBorders>
            <w:noWrap w:val="0"/>
            <w:vAlign w:val="center"/>
          </w:tcPr>
          <w:p w14:paraId="4903667E">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70</w:t>
            </w:r>
          </w:p>
        </w:tc>
        <w:tc>
          <w:tcPr>
            <w:tcW w:w="4797" w:type="dxa"/>
            <w:vMerge w:val="continue"/>
            <w:tcBorders>
              <w:tl2br w:val="nil"/>
              <w:tr2bl w:val="nil"/>
            </w:tcBorders>
            <w:noWrap w:val="0"/>
            <w:vAlign w:val="center"/>
          </w:tcPr>
          <w:p w14:paraId="7B872ED1">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1182D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10DFFA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7</w:t>
            </w:r>
          </w:p>
        </w:tc>
        <w:tc>
          <w:tcPr>
            <w:tcW w:w="1759" w:type="dxa"/>
            <w:tcBorders>
              <w:tl2br w:val="nil"/>
              <w:tr2bl w:val="nil"/>
            </w:tcBorders>
            <w:noWrap w:val="0"/>
            <w:vAlign w:val="center"/>
          </w:tcPr>
          <w:p w14:paraId="56A55CDE">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石油类</w:t>
            </w:r>
          </w:p>
        </w:tc>
        <w:tc>
          <w:tcPr>
            <w:tcW w:w="1760" w:type="dxa"/>
            <w:tcBorders>
              <w:tl2br w:val="nil"/>
              <w:tr2bl w:val="nil"/>
            </w:tcBorders>
            <w:noWrap w:val="0"/>
            <w:vAlign w:val="center"/>
          </w:tcPr>
          <w:p w14:paraId="646F4F49">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20</w:t>
            </w:r>
          </w:p>
        </w:tc>
        <w:tc>
          <w:tcPr>
            <w:tcW w:w="4797" w:type="dxa"/>
            <w:vMerge w:val="continue"/>
            <w:tcBorders>
              <w:tl2br w:val="nil"/>
              <w:tr2bl w:val="nil"/>
            </w:tcBorders>
            <w:noWrap w:val="0"/>
            <w:vAlign w:val="center"/>
          </w:tcPr>
          <w:p w14:paraId="67FA095E">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39152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648FB077">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8</w:t>
            </w:r>
          </w:p>
        </w:tc>
        <w:tc>
          <w:tcPr>
            <w:tcW w:w="1759" w:type="dxa"/>
            <w:tcBorders>
              <w:tl2br w:val="nil"/>
              <w:tr2bl w:val="nil"/>
            </w:tcBorders>
            <w:noWrap w:val="0"/>
            <w:vAlign w:val="center"/>
          </w:tcPr>
          <w:p w14:paraId="6ED90EEE">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色度</w:t>
            </w:r>
          </w:p>
        </w:tc>
        <w:tc>
          <w:tcPr>
            <w:tcW w:w="1760" w:type="dxa"/>
            <w:tcBorders>
              <w:tl2br w:val="nil"/>
              <w:tr2bl w:val="nil"/>
            </w:tcBorders>
            <w:noWrap w:val="0"/>
            <w:vAlign w:val="center"/>
          </w:tcPr>
          <w:p w14:paraId="08D36E6D">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100</w:t>
            </w:r>
          </w:p>
        </w:tc>
        <w:tc>
          <w:tcPr>
            <w:tcW w:w="4797" w:type="dxa"/>
            <w:vMerge w:val="continue"/>
            <w:tcBorders>
              <w:tl2br w:val="nil"/>
              <w:tr2bl w:val="nil"/>
            </w:tcBorders>
            <w:noWrap w:val="0"/>
            <w:vAlign w:val="center"/>
          </w:tcPr>
          <w:p w14:paraId="0B27D9B1">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1F366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450614A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9</w:t>
            </w:r>
          </w:p>
        </w:tc>
        <w:tc>
          <w:tcPr>
            <w:tcW w:w="1759" w:type="dxa"/>
            <w:tcBorders>
              <w:tl2br w:val="nil"/>
              <w:tr2bl w:val="nil"/>
            </w:tcBorders>
            <w:noWrap w:val="0"/>
            <w:vAlign w:val="center"/>
          </w:tcPr>
          <w:p w14:paraId="3903C767">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溶解性总固体</w:t>
            </w:r>
          </w:p>
        </w:tc>
        <w:tc>
          <w:tcPr>
            <w:tcW w:w="1760" w:type="dxa"/>
            <w:tcBorders>
              <w:tl2br w:val="nil"/>
              <w:tr2bl w:val="nil"/>
            </w:tcBorders>
            <w:noWrap w:val="0"/>
            <w:vAlign w:val="center"/>
          </w:tcPr>
          <w:p w14:paraId="0CF2D476">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2000</w:t>
            </w:r>
          </w:p>
        </w:tc>
        <w:tc>
          <w:tcPr>
            <w:tcW w:w="4797" w:type="dxa"/>
            <w:vMerge w:val="continue"/>
            <w:tcBorders>
              <w:tl2br w:val="nil"/>
              <w:tr2bl w:val="nil"/>
            </w:tcBorders>
            <w:noWrap w:val="0"/>
            <w:vAlign w:val="center"/>
          </w:tcPr>
          <w:p w14:paraId="7E470B11">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70320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970" w:type="dxa"/>
            <w:tcBorders>
              <w:tl2br w:val="nil"/>
              <w:tr2bl w:val="nil"/>
            </w:tcBorders>
            <w:noWrap w:val="0"/>
            <w:vAlign w:val="center"/>
          </w:tcPr>
          <w:p w14:paraId="414C3D3A">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10</w:t>
            </w:r>
          </w:p>
        </w:tc>
        <w:tc>
          <w:tcPr>
            <w:tcW w:w="1759" w:type="dxa"/>
            <w:tcBorders>
              <w:tl2br w:val="nil"/>
              <w:tr2bl w:val="nil"/>
            </w:tcBorders>
            <w:noWrap w:val="0"/>
            <w:vAlign w:val="center"/>
          </w:tcPr>
          <w:p w14:paraId="3E0179BD">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氯化物</w:t>
            </w:r>
          </w:p>
        </w:tc>
        <w:tc>
          <w:tcPr>
            <w:tcW w:w="1760" w:type="dxa"/>
            <w:tcBorders>
              <w:tl2br w:val="nil"/>
              <w:tr2bl w:val="nil"/>
            </w:tcBorders>
            <w:noWrap w:val="0"/>
            <w:vAlign w:val="center"/>
          </w:tcPr>
          <w:p w14:paraId="12EA1EA9">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500</w:t>
            </w:r>
          </w:p>
        </w:tc>
        <w:tc>
          <w:tcPr>
            <w:tcW w:w="4797" w:type="dxa"/>
            <w:vMerge w:val="restart"/>
            <w:tcBorders>
              <w:tl2br w:val="nil"/>
              <w:tr2bl w:val="nil"/>
            </w:tcBorders>
            <w:noWrap w:val="0"/>
            <w:vAlign w:val="center"/>
          </w:tcPr>
          <w:p w14:paraId="5713C47C">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《污水综合排放标准》（GB8978-1996）三级标准</w:t>
            </w:r>
          </w:p>
        </w:tc>
      </w:tr>
      <w:tr w14:paraId="6FDF7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46BC7E5C">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11</w:t>
            </w:r>
          </w:p>
        </w:tc>
        <w:tc>
          <w:tcPr>
            <w:tcW w:w="1759" w:type="dxa"/>
            <w:tcBorders>
              <w:tl2br w:val="nil"/>
              <w:tr2bl w:val="nil"/>
            </w:tcBorders>
            <w:noWrap w:val="0"/>
            <w:vAlign w:val="center"/>
          </w:tcPr>
          <w:p w14:paraId="67237487">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丙酮</w:t>
            </w:r>
          </w:p>
        </w:tc>
        <w:tc>
          <w:tcPr>
            <w:tcW w:w="1760" w:type="dxa"/>
            <w:tcBorders>
              <w:tl2br w:val="nil"/>
              <w:tr2bl w:val="nil"/>
            </w:tcBorders>
            <w:noWrap w:val="0"/>
            <w:vAlign w:val="center"/>
          </w:tcPr>
          <w:p w14:paraId="34AD505D">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20</w:t>
            </w:r>
          </w:p>
        </w:tc>
        <w:tc>
          <w:tcPr>
            <w:tcW w:w="4797" w:type="dxa"/>
            <w:vMerge w:val="continue"/>
            <w:tcBorders>
              <w:tl2br w:val="nil"/>
              <w:tr2bl w:val="nil"/>
            </w:tcBorders>
            <w:noWrap w:val="0"/>
            <w:vAlign w:val="center"/>
          </w:tcPr>
          <w:p w14:paraId="0271E16F">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43C86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5EC63A4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12</w:t>
            </w:r>
          </w:p>
        </w:tc>
        <w:tc>
          <w:tcPr>
            <w:tcW w:w="1759" w:type="dxa"/>
            <w:tcBorders>
              <w:tl2br w:val="nil"/>
              <w:tr2bl w:val="nil"/>
            </w:tcBorders>
            <w:noWrap w:val="0"/>
            <w:vAlign w:val="center"/>
          </w:tcPr>
          <w:p w14:paraId="4EA9DBCF">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硫酸盐</w:t>
            </w:r>
          </w:p>
        </w:tc>
        <w:tc>
          <w:tcPr>
            <w:tcW w:w="1760" w:type="dxa"/>
            <w:tcBorders>
              <w:tl2br w:val="nil"/>
              <w:tr2bl w:val="nil"/>
            </w:tcBorders>
            <w:noWrap w:val="0"/>
            <w:vAlign w:val="center"/>
          </w:tcPr>
          <w:p w14:paraId="2A4F7D26">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w:t>
            </w:r>
          </w:p>
        </w:tc>
        <w:tc>
          <w:tcPr>
            <w:tcW w:w="4797" w:type="dxa"/>
            <w:vMerge w:val="continue"/>
            <w:tcBorders>
              <w:tl2br w:val="nil"/>
              <w:tr2bl w:val="nil"/>
            </w:tcBorders>
            <w:noWrap w:val="0"/>
            <w:vAlign w:val="center"/>
          </w:tcPr>
          <w:p w14:paraId="45E29BD3">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2C1955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7B69BF0F">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lang w:val="en-US" w:eastAsia="zh-CN" w:bidi="ar-SA"/>
              </w:rPr>
              <w:t>13</w:t>
            </w:r>
          </w:p>
        </w:tc>
        <w:tc>
          <w:tcPr>
            <w:tcW w:w="1759" w:type="dxa"/>
            <w:tcBorders>
              <w:tl2br w:val="nil"/>
              <w:tr2bl w:val="nil"/>
            </w:tcBorders>
            <w:noWrap w:val="0"/>
            <w:vAlign w:val="center"/>
          </w:tcPr>
          <w:p w14:paraId="70A5CF0A">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BOD</w:t>
            </w:r>
            <w:r>
              <w:rPr>
                <w:rFonts w:hint="default" w:ascii="Times New Roman" w:hAnsi="Times New Roman" w:eastAsia="仿宋" w:cs="Times New Roman"/>
                <w:color w:val="auto"/>
                <w:kern w:val="2"/>
                <w:sz w:val="21"/>
                <w:szCs w:val="21"/>
                <w:highlight w:val="none"/>
                <w:vertAlign w:val="subscript"/>
                <w:lang w:val="en-US" w:eastAsia="zh-CN" w:bidi="ar-SA"/>
              </w:rPr>
              <w:t>5</w:t>
            </w:r>
          </w:p>
        </w:tc>
        <w:tc>
          <w:tcPr>
            <w:tcW w:w="1760" w:type="dxa"/>
            <w:tcBorders>
              <w:tl2br w:val="nil"/>
              <w:tr2bl w:val="nil"/>
            </w:tcBorders>
            <w:noWrap w:val="0"/>
            <w:vAlign w:val="center"/>
          </w:tcPr>
          <w:p w14:paraId="7F152F3C">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300</w:t>
            </w:r>
          </w:p>
        </w:tc>
        <w:tc>
          <w:tcPr>
            <w:tcW w:w="4797" w:type="dxa"/>
            <w:vMerge w:val="continue"/>
            <w:tcBorders>
              <w:tl2br w:val="nil"/>
              <w:tr2bl w:val="nil"/>
            </w:tcBorders>
            <w:noWrap w:val="0"/>
            <w:vAlign w:val="center"/>
          </w:tcPr>
          <w:p w14:paraId="53E0FAED">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739FB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227CA4D2">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16</w:t>
            </w:r>
          </w:p>
        </w:tc>
        <w:tc>
          <w:tcPr>
            <w:tcW w:w="1759" w:type="dxa"/>
            <w:tcBorders>
              <w:tl2br w:val="nil"/>
              <w:tr2bl w:val="nil"/>
            </w:tcBorders>
            <w:noWrap w:val="0"/>
            <w:vAlign w:val="center"/>
          </w:tcPr>
          <w:p w14:paraId="1C158ECA">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动植物油</w:t>
            </w:r>
          </w:p>
        </w:tc>
        <w:tc>
          <w:tcPr>
            <w:tcW w:w="1760" w:type="dxa"/>
            <w:tcBorders>
              <w:tl2br w:val="nil"/>
              <w:tr2bl w:val="nil"/>
            </w:tcBorders>
            <w:noWrap w:val="0"/>
            <w:vAlign w:val="center"/>
          </w:tcPr>
          <w:p w14:paraId="76804891">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100</w:t>
            </w:r>
          </w:p>
        </w:tc>
        <w:tc>
          <w:tcPr>
            <w:tcW w:w="4797" w:type="dxa"/>
            <w:vMerge w:val="continue"/>
            <w:tcBorders>
              <w:tl2br w:val="nil"/>
              <w:tr2bl w:val="nil"/>
            </w:tcBorders>
            <w:noWrap w:val="0"/>
            <w:vAlign w:val="center"/>
          </w:tcPr>
          <w:p w14:paraId="309EA108">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73312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7CBD3C15">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lang w:val="en-US" w:eastAsia="zh-CN" w:bidi="ar-SA"/>
              </w:rPr>
              <w:t>17</w:t>
            </w:r>
          </w:p>
        </w:tc>
        <w:tc>
          <w:tcPr>
            <w:tcW w:w="1759" w:type="dxa"/>
            <w:tcBorders>
              <w:tl2br w:val="nil"/>
              <w:tr2bl w:val="nil"/>
            </w:tcBorders>
            <w:noWrap w:val="0"/>
            <w:vAlign w:val="center"/>
          </w:tcPr>
          <w:p w14:paraId="4D3BD29D">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硫化物</w:t>
            </w:r>
          </w:p>
        </w:tc>
        <w:tc>
          <w:tcPr>
            <w:tcW w:w="1760" w:type="dxa"/>
            <w:tcBorders>
              <w:tl2br w:val="nil"/>
              <w:tr2bl w:val="nil"/>
            </w:tcBorders>
            <w:noWrap w:val="0"/>
            <w:vAlign w:val="center"/>
          </w:tcPr>
          <w:p w14:paraId="0E465B42">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1.0</w:t>
            </w:r>
          </w:p>
        </w:tc>
        <w:tc>
          <w:tcPr>
            <w:tcW w:w="4797" w:type="dxa"/>
            <w:vMerge w:val="continue"/>
            <w:tcBorders>
              <w:tl2br w:val="nil"/>
              <w:tr2bl w:val="nil"/>
            </w:tcBorders>
            <w:noWrap w:val="0"/>
            <w:vAlign w:val="center"/>
          </w:tcPr>
          <w:p w14:paraId="221463B1">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04E06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7" w:hRule="atLeast"/>
          <w:jc w:val="center"/>
        </w:trPr>
        <w:tc>
          <w:tcPr>
            <w:tcW w:w="970" w:type="dxa"/>
            <w:tcBorders>
              <w:tl2br w:val="nil"/>
              <w:tr2bl w:val="nil"/>
            </w:tcBorders>
            <w:noWrap w:val="0"/>
            <w:vAlign w:val="center"/>
          </w:tcPr>
          <w:p w14:paraId="0917D8A9">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lang w:val="en-US" w:eastAsia="zh-CN" w:bidi="ar-SA"/>
              </w:rPr>
              <w:t>20</w:t>
            </w:r>
          </w:p>
        </w:tc>
        <w:tc>
          <w:tcPr>
            <w:tcW w:w="1759" w:type="dxa"/>
            <w:tcBorders>
              <w:tl2br w:val="nil"/>
              <w:tr2bl w:val="nil"/>
            </w:tcBorders>
            <w:noWrap w:val="0"/>
            <w:vAlign w:val="center"/>
          </w:tcPr>
          <w:p w14:paraId="693299AE">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总铜</w:t>
            </w:r>
          </w:p>
        </w:tc>
        <w:tc>
          <w:tcPr>
            <w:tcW w:w="1760" w:type="dxa"/>
            <w:tcBorders>
              <w:tl2br w:val="nil"/>
              <w:tr2bl w:val="nil"/>
            </w:tcBorders>
            <w:noWrap w:val="0"/>
            <w:vAlign w:val="center"/>
          </w:tcPr>
          <w:p w14:paraId="4C23E831">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2.0</w:t>
            </w:r>
          </w:p>
        </w:tc>
        <w:tc>
          <w:tcPr>
            <w:tcW w:w="4797" w:type="dxa"/>
            <w:vMerge w:val="continue"/>
            <w:tcBorders>
              <w:tl2br w:val="nil"/>
              <w:tr2bl w:val="nil"/>
            </w:tcBorders>
            <w:noWrap w:val="0"/>
            <w:vAlign w:val="center"/>
          </w:tcPr>
          <w:p w14:paraId="62927856">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0E1A4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970" w:type="dxa"/>
            <w:tcBorders>
              <w:tl2br w:val="nil"/>
              <w:tr2bl w:val="nil"/>
            </w:tcBorders>
            <w:noWrap w:val="0"/>
            <w:vAlign w:val="center"/>
          </w:tcPr>
          <w:p w14:paraId="0193CD3D">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21</w:t>
            </w:r>
          </w:p>
        </w:tc>
        <w:tc>
          <w:tcPr>
            <w:tcW w:w="1759" w:type="dxa"/>
            <w:tcBorders>
              <w:tl2br w:val="nil"/>
              <w:tr2bl w:val="nil"/>
            </w:tcBorders>
            <w:noWrap w:val="0"/>
            <w:vAlign w:val="center"/>
          </w:tcPr>
          <w:p w14:paraId="78897AB4">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TOC</w:t>
            </w:r>
          </w:p>
        </w:tc>
        <w:tc>
          <w:tcPr>
            <w:tcW w:w="1760" w:type="dxa"/>
            <w:tcBorders>
              <w:tl2br w:val="nil"/>
              <w:tr2bl w:val="nil"/>
            </w:tcBorders>
            <w:noWrap w:val="0"/>
            <w:vAlign w:val="center"/>
          </w:tcPr>
          <w:p w14:paraId="19D7092C">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w:t>
            </w:r>
          </w:p>
        </w:tc>
        <w:tc>
          <w:tcPr>
            <w:tcW w:w="4797" w:type="dxa"/>
            <w:vMerge w:val="continue"/>
            <w:tcBorders>
              <w:tl2br w:val="nil"/>
              <w:tr2bl w:val="nil"/>
            </w:tcBorders>
            <w:noWrap w:val="0"/>
            <w:vAlign w:val="center"/>
          </w:tcPr>
          <w:p w14:paraId="7E2379DD">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p>
        </w:tc>
      </w:tr>
      <w:tr w14:paraId="3F0B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3" w:hRule="atLeast"/>
          <w:jc w:val="center"/>
        </w:trPr>
        <w:tc>
          <w:tcPr>
            <w:tcW w:w="970" w:type="dxa"/>
            <w:tcBorders>
              <w:tl2br w:val="nil"/>
              <w:tr2bl w:val="nil"/>
            </w:tcBorders>
            <w:noWrap w:val="0"/>
            <w:vAlign w:val="center"/>
          </w:tcPr>
          <w:p w14:paraId="70F597B6">
            <w:pPr>
              <w:keepNext w:val="0"/>
              <w:keepLines w:val="0"/>
              <w:pageBreakBefore w:val="0"/>
              <w:widowControl/>
              <w:suppressLineNumbers w:val="0"/>
              <w:kinsoku/>
              <w:wordWrap/>
              <w:overflowPunct/>
              <w:topLinePunct w:val="0"/>
              <w:autoSpaceDE/>
              <w:autoSpaceDN/>
              <w:bidi w:val="0"/>
              <w:adjustRightInd w:val="0"/>
              <w:snapToGrid w:val="0"/>
              <w:spacing w:before="0" w:beforeAutospacing="0" w:after="0" w:afterAutospacing="0" w:line="240" w:lineRule="auto"/>
              <w:ind w:left="0" w:leftChars="0" w:right="0" w:rightChars="0"/>
              <w:jc w:val="center"/>
              <w:rPr>
                <w:rFonts w:hint="default" w:ascii="Times New Roman" w:hAnsi="Times New Roman" w:eastAsia="仿宋" w:cs="Times New Roman"/>
                <w:color w:val="auto"/>
                <w:kern w:val="2"/>
                <w:sz w:val="21"/>
                <w:szCs w:val="21"/>
                <w:lang w:val="en-US" w:eastAsia="zh-CN" w:bidi="ar-SA"/>
              </w:rPr>
            </w:pPr>
            <w:r>
              <w:rPr>
                <w:rFonts w:hint="default" w:ascii="Times New Roman" w:hAnsi="Times New Roman" w:eastAsia="仿宋" w:cs="Times New Roman"/>
                <w:color w:val="auto"/>
                <w:kern w:val="2"/>
                <w:sz w:val="21"/>
                <w:szCs w:val="21"/>
                <w:lang w:val="en-US" w:eastAsia="zh-CN" w:bidi="ar-SA"/>
              </w:rPr>
              <w:t>13</w:t>
            </w:r>
          </w:p>
        </w:tc>
        <w:tc>
          <w:tcPr>
            <w:tcW w:w="1759" w:type="dxa"/>
            <w:tcBorders>
              <w:tl2br w:val="nil"/>
              <w:tr2bl w:val="nil"/>
            </w:tcBorders>
            <w:noWrap w:val="0"/>
            <w:vAlign w:val="center"/>
          </w:tcPr>
          <w:p w14:paraId="756ED7DF">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急性毒性</w:t>
            </w:r>
          </w:p>
        </w:tc>
        <w:tc>
          <w:tcPr>
            <w:tcW w:w="1760" w:type="dxa"/>
            <w:tcBorders>
              <w:tl2br w:val="nil"/>
              <w:tr2bl w:val="nil"/>
            </w:tcBorders>
            <w:noWrap w:val="0"/>
            <w:vAlign w:val="center"/>
          </w:tcPr>
          <w:p w14:paraId="61ACC49A">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w:t>
            </w:r>
          </w:p>
        </w:tc>
        <w:tc>
          <w:tcPr>
            <w:tcW w:w="4797" w:type="dxa"/>
            <w:tcBorders>
              <w:tl2br w:val="nil"/>
              <w:tr2bl w:val="nil"/>
            </w:tcBorders>
            <w:noWrap w:val="0"/>
            <w:vAlign w:val="center"/>
          </w:tcPr>
          <w:p w14:paraId="70CFEC83">
            <w:pPr>
              <w:keepNext w:val="0"/>
              <w:keepLines w:val="0"/>
              <w:pageBreakBefore w:val="0"/>
              <w:widowControl w:val="0"/>
              <w:kinsoku/>
              <w:wordWrap/>
              <w:overflowPunct/>
              <w:topLinePunct w:val="0"/>
              <w:autoSpaceDE/>
              <w:autoSpaceDN/>
              <w:bidi w:val="0"/>
              <w:adjustRightInd w:val="0"/>
              <w:snapToGrid/>
              <w:spacing w:after="0" w:line="240" w:lineRule="auto"/>
              <w:ind w:left="0" w:leftChars="0" w:right="0" w:rightChars="0" w:firstLine="0" w:firstLineChars="0"/>
              <w:jc w:val="center"/>
              <w:textAlignment w:val="baseline"/>
              <w:rPr>
                <w:rFonts w:hint="default" w:ascii="Times New Roman" w:hAnsi="Times New Roman" w:eastAsia="仿宋" w:cs="Times New Roman"/>
                <w:color w:val="auto"/>
                <w:kern w:val="2"/>
                <w:sz w:val="21"/>
                <w:szCs w:val="21"/>
                <w:highlight w:val="none"/>
                <w:lang w:val="en-US" w:eastAsia="zh-CN" w:bidi="ar-SA"/>
              </w:rPr>
            </w:pPr>
            <w:r>
              <w:rPr>
                <w:rFonts w:hint="default" w:ascii="Times New Roman" w:hAnsi="Times New Roman" w:eastAsia="仿宋" w:cs="Times New Roman"/>
                <w:color w:val="auto"/>
                <w:kern w:val="2"/>
                <w:sz w:val="21"/>
                <w:szCs w:val="21"/>
                <w:highlight w:val="none"/>
                <w:lang w:val="en-US" w:eastAsia="zh-CN" w:bidi="ar-SA"/>
              </w:rPr>
              <w:t>《化学合成类制药工业水污染物排放标准》（GB21904-2008）</w:t>
            </w:r>
          </w:p>
        </w:tc>
      </w:tr>
    </w:tbl>
    <w:p w14:paraId="49D8EBB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kern w:val="2"/>
          <w:sz w:val="24"/>
          <w:szCs w:val="24"/>
          <w:lang w:val="en-US" w:eastAsia="zh-CN" w:bidi="ar-SA"/>
        </w:rPr>
        <w:t>3、</w:t>
      </w:r>
      <w:r>
        <w:rPr>
          <w:rFonts w:hint="default" w:ascii="Times New Roman" w:hAnsi="Times New Roman" w:eastAsia="宋体" w:cs="Times New Roman"/>
          <w:b/>
          <w:bCs/>
          <w:sz w:val="24"/>
          <w:szCs w:val="24"/>
        </w:rPr>
        <w:t>固废</w:t>
      </w:r>
    </w:p>
    <w:p w14:paraId="69BE594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固体废物主要包括危险废物和一般固体废物。</w:t>
      </w:r>
    </w:p>
    <w:p w14:paraId="625798B4">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危险废物</w:t>
      </w:r>
      <w:r>
        <w:rPr>
          <w:rFonts w:hint="eastAsia" w:ascii="Times New Roman" w:hAnsi="Times New Roman" w:eastAsia="宋体" w:cs="Times New Roman"/>
          <w:sz w:val="24"/>
          <w:szCs w:val="24"/>
          <w:lang w:val="en-US" w:eastAsia="zh-CN"/>
        </w:rPr>
        <w:t>：主要有有机废液、过滤滤渣、废活性炭、废滤布、</w:t>
      </w:r>
      <w:r>
        <w:rPr>
          <w:rFonts w:hint="default" w:ascii="Times New Roman" w:hAnsi="Times New Roman" w:eastAsia="宋体" w:cs="Times New Roman"/>
          <w:sz w:val="24"/>
          <w:szCs w:val="24"/>
          <w:lang w:val="en-US" w:eastAsia="zh-CN"/>
        </w:rPr>
        <w:t>废原料包装物</w:t>
      </w:r>
      <w:r>
        <w:rPr>
          <w:rFonts w:hint="eastAsia" w:ascii="Times New Roman" w:hAnsi="Times New Roman" w:eastAsia="宋体" w:cs="Times New Roman"/>
          <w:sz w:val="24"/>
          <w:szCs w:val="24"/>
          <w:lang w:val="en-US" w:eastAsia="zh-CN"/>
        </w:rPr>
        <w:t>、废机油、废润滑油、高浓母液、</w:t>
      </w:r>
      <w:r>
        <w:rPr>
          <w:rFonts w:hint="default" w:ascii="Times New Roman" w:hAnsi="Times New Roman" w:eastAsia="宋体" w:cs="Times New Roman"/>
          <w:sz w:val="24"/>
          <w:szCs w:val="24"/>
          <w:lang w:val="en-US" w:eastAsia="zh-CN"/>
        </w:rPr>
        <w:t>在线标定废液</w:t>
      </w:r>
      <w:r>
        <w:rPr>
          <w:rFonts w:hint="eastAsia" w:ascii="Times New Roman" w:hAnsi="Times New Roman" w:eastAsia="宋体" w:cs="Times New Roman"/>
          <w:sz w:val="24"/>
          <w:szCs w:val="24"/>
          <w:lang w:val="en-US" w:eastAsia="zh-CN"/>
        </w:rPr>
        <w:t>、污泥。</w:t>
      </w:r>
      <w:r>
        <w:rPr>
          <w:rFonts w:hint="default" w:ascii="Times New Roman" w:hAnsi="Times New Roman" w:eastAsia="宋体" w:cs="Times New Roman"/>
          <w:sz w:val="24"/>
          <w:szCs w:val="24"/>
          <w:lang w:val="en-US" w:eastAsia="zh-CN"/>
        </w:rPr>
        <w:t>暂存在危险废物贮存库（140.7m</w:t>
      </w:r>
      <w:r>
        <w:rPr>
          <w:rFonts w:hint="default" w:ascii="Times New Roman" w:hAnsi="Times New Roman" w:eastAsia="宋体" w:cs="Times New Roman"/>
          <w:sz w:val="24"/>
          <w:szCs w:val="24"/>
          <w:vertAlign w:val="superscript"/>
          <w:lang w:val="en-US" w:eastAsia="zh-CN"/>
        </w:rPr>
        <w:t>2</w:t>
      </w:r>
      <w:r>
        <w:rPr>
          <w:rFonts w:hint="default" w:ascii="Times New Roman" w:hAnsi="Times New Roman" w:eastAsia="宋体" w:cs="Times New Roman"/>
          <w:sz w:val="24"/>
          <w:szCs w:val="24"/>
          <w:lang w:val="en-US" w:eastAsia="zh-CN"/>
        </w:rPr>
        <w:t>），定期委托兰州海中环保科技有限责任公司、平凉海螺环保科技有限责任公司、兰州盈美环保科技有限公司处理处置。</w:t>
      </w:r>
    </w:p>
    <w:p w14:paraId="0644F890">
      <w:pPr>
        <w:keepNext w:val="0"/>
        <w:keepLines w:val="0"/>
        <w:pageBreakBefore w:val="0"/>
        <w:widowControl w:val="0"/>
        <w:numPr>
          <w:ilvl w:val="0"/>
          <w:numId w:val="2"/>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一般固体废物主要为生活垃圾，由环卫部门统一清运。</w:t>
      </w:r>
    </w:p>
    <w:p w14:paraId="0B2C66A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2" w:firstLineChars="200"/>
        <w:textAlignment w:val="auto"/>
        <w:rPr>
          <w:rFonts w:hint="default" w:ascii="Times New Roman" w:hAnsi="Times New Roman" w:eastAsia="宋体" w:cs="Times New Roman"/>
          <w:b/>
          <w:bCs/>
          <w:sz w:val="24"/>
          <w:szCs w:val="24"/>
          <w:lang w:eastAsia="zh-CN"/>
        </w:rPr>
      </w:pPr>
      <w:r>
        <w:rPr>
          <w:rFonts w:hint="default" w:ascii="Times New Roman" w:hAnsi="Times New Roman" w:eastAsia="宋体" w:cs="Times New Roman"/>
          <w:b/>
          <w:bCs/>
          <w:kern w:val="2"/>
          <w:sz w:val="24"/>
          <w:szCs w:val="24"/>
          <w:lang w:val="en-US" w:eastAsia="zh-CN" w:bidi="ar-SA"/>
        </w:rPr>
        <w:t>4、</w:t>
      </w:r>
      <w:r>
        <w:rPr>
          <w:rFonts w:hint="default" w:ascii="Times New Roman" w:hAnsi="Times New Roman" w:eastAsia="宋体" w:cs="Times New Roman"/>
          <w:b/>
          <w:bCs/>
          <w:sz w:val="24"/>
          <w:szCs w:val="24"/>
        </w:rPr>
        <w:t>噪声</w:t>
      </w:r>
    </w:p>
    <w:p w14:paraId="3E3399DF">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噪声源主要来源于生产设施涉及的泵类、空压机、风机等。</w:t>
      </w:r>
    </w:p>
    <w:p w14:paraId="3C5B678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运营期厂界噪声执行《工业企业厂界环境噪声排放标准》（GB12348-2008）中3类标准。</w:t>
      </w:r>
    </w:p>
    <w:p w14:paraId="167EC0EE">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sz w:val="24"/>
          <w:szCs w:val="24"/>
          <w:lang w:val="en-US" w:eastAsia="zh-CN"/>
        </w:rPr>
        <w:t>三</w:t>
      </w:r>
      <w:r>
        <w:rPr>
          <w:rFonts w:hint="default" w:ascii="Times New Roman" w:hAnsi="Times New Roman" w:eastAsia="宋体" w:cs="Times New Roman"/>
          <w:b/>
          <w:bCs/>
          <w:sz w:val="24"/>
          <w:szCs w:val="24"/>
        </w:rPr>
        <w:t>、污染物总量达标放情况</w:t>
      </w:r>
    </w:p>
    <w:p w14:paraId="74D14677">
      <w:pPr>
        <w:widowControl/>
        <w:adjustRightInd w:val="0"/>
        <w:snapToGrid w:val="0"/>
        <w:spacing w:line="360" w:lineRule="auto"/>
        <w:ind w:firstLine="422" w:firstLineChars="200"/>
        <w:jc w:val="center"/>
        <w:rPr>
          <w:rFonts w:hint="default" w:ascii="Times New Roman" w:hAnsi="Times New Roman" w:eastAsia="宋体" w:cs="Times New Roman"/>
          <w:b/>
          <w:bCs/>
          <w:kern w:val="0"/>
          <w:sz w:val="24"/>
          <w:szCs w:val="22"/>
        </w:rPr>
      </w:pPr>
      <w:r>
        <w:rPr>
          <w:rFonts w:hint="default" w:ascii="Times New Roman" w:hAnsi="Times New Roman" w:eastAsia="宋体" w:cs="Times New Roman"/>
          <w:b/>
        </w:rPr>
        <w:t>污染物排放总量控制指</w:t>
      </w:r>
      <w:r>
        <w:rPr>
          <w:rFonts w:hint="default" w:ascii="Times New Roman" w:hAnsi="Times New Roman" w:eastAsia="宋体" w:cs="Times New Roman"/>
          <w:b/>
          <w:bCs/>
          <w:kern w:val="0"/>
          <w:sz w:val="24"/>
          <w:szCs w:val="22"/>
        </w:rPr>
        <w:t>标</w:t>
      </w:r>
    </w:p>
    <w:tbl>
      <w:tblPr>
        <w:tblStyle w:val="4"/>
        <w:tblW w:w="4997"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Layout w:type="autofit"/>
        <w:tblCellMar>
          <w:top w:w="0" w:type="dxa"/>
          <w:left w:w="108" w:type="dxa"/>
          <w:bottom w:w="0" w:type="dxa"/>
          <w:right w:w="108" w:type="dxa"/>
        </w:tblCellMar>
      </w:tblPr>
      <w:tblGrid>
        <w:gridCol w:w="2247"/>
        <w:gridCol w:w="2040"/>
        <w:gridCol w:w="2781"/>
        <w:gridCol w:w="2214"/>
      </w:tblGrid>
      <w:tr w14:paraId="6F5924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CellMar>
            <w:top w:w="0" w:type="dxa"/>
            <w:left w:w="108" w:type="dxa"/>
            <w:bottom w:w="0" w:type="dxa"/>
            <w:right w:w="108" w:type="dxa"/>
          </w:tblCellMar>
        </w:tblPrEx>
        <w:trPr>
          <w:trHeight w:val="340" w:hRule="atLeast"/>
        </w:trPr>
        <w:tc>
          <w:tcPr>
            <w:tcW w:w="1210" w:type="pct"/>
            <w:shd w:val="clear" w:color="auto" w:fill="FFFFFF"/>
            <w:vAlign w:val="center"/>
          </w:tcPr>
          <w:p w14:paraId="237A711F">
            <w:pPr>
              <w:widowControl w:val="0"/>
              <w:adjustRightInd/>
              <w:snapToGrid/>
              <w:spacing w:line="240" w:lineRule="auto"/>
              <w:ind w:firstLine="0" w:firstLineChars="0"/>
              <w:jc w:val="center"/>
              <w:rPr>
                <w:rFonts w:hint="default" w:ascii="Times New Roman" w:hAnsi="Times New Roman" w:eastAsia="宋体" w:cs="Times New Roman"/>
                <w:kern w:val="2"/>
                <w:sz w:val="21"/>
                <w:szCs w:val="22"/>
                <w:lang w:val="en-US" w:eastAsia="zh-CN" w:bidi="ar-SA"/>
              </w:rPr>
            </w:pPr>
            <w:r>
              <w:rPr>
                <w:rFonts w:hint="default" w:ascii="Times New Roman" w:hAnsi="Times New Roman" w:eastAsia="宋体" w:cs="Times New Roman"/>
                <w:kern w:val="2"/>
                <w:sz w:val="21"/>
                <w:szCs w:val="22"/>
                <w:lang w:val="en-US" w:eastAsia="zh-CN" w:bidi="ar-SA"/>
              </w:rPr>
              <w:t>污染源</w:t>
            </w:r>
          </w:p>
        </w:tc>
        <w:tc>
          <w:tcPr>
            <w:tcW w:w="1098" w:type="pct"/>
            <w:shd w:val="clear" w:color="auto" w:fill="FFFFFF"/>
            <w:vAlign w:val="center"/>
          </w:tcPr>
          <w:p w14:paraId="3BECECF1">
            <w:pPr>
              <w:widowControl w:val="0"/>
              <w:adjustRightInd/>
              <w:snapToGrid/>
              <w:spacing w:line="240" w:lineRule="auto"/>
              <w:ind w:firstLine="0" w:firstLineChars="0"/>
              <w:jc w:val="center"/>
              <w:rPr>
                <w:rFonts w:hint="default" w:ascii="Times New Roman" w:hAnsi="Times New Roman" w:eastAsia="宋体" w:cs="Times New Roman"/>
                <w:kern w:val="2"/>
                <w:sz w:val="21"/>
                <w:szCs w:val="22"/>
                <w:lang w:val="en-US" w:eastAsia="zh-CN" w:bidi="ar-SA"/>
              </w:rPr>
            </w:pPr>
            <w:r>
              <w:rPr>
                <w:rFonts w:hint="default" w:ascii="Times New Roman" w:hAnsi="Times New Roman" w:eastAsia="宋体" w:cs="Times New Roman"/>
                <w:kern w:val="2"/>
                <w:sz w:val="21"/>
                <w:szCs w:val="22"/>
                <w:lang w:val="en-US" w:eastAsia="zh-CN" w:bidi="ar-SA"/>
              </w:rPr>
              <w:t>污染物</w:t>
            </w:r>
          </w:p>
        </w:tc>
        <w:tc>
          <w:tcPr>
            <w:tcW w:w="1497" w:type="pct"/>
            <w:shd w:val="clear" w:color="auto" w:fill="FFFFFF"/>
            <w:vAlign w:val="center"/>
          </w:tcPr>
          <w:p w14:paraId="2C3B20F4">
            <w:pPr>
              <w:widowControl w:val="0"/>
              <w:adjustRightInd/>
              <w:snapToGrid/>
              <w:spacing w:line="240" w:lineRule="auto"/>
              <w:ind w:firstLine="0" w:firstLineChars="0"/>
              <w:jc w:val="center"/>
              <w:rPr>
                <w:rFonts w:hint="default" w:ascii="Times New Roman" w:hAnsi="Times New Roman" w:eastAsia="宋体" w:cs="Times New Roman"/>
                <w:kern w:val="2"/>
                <w:sz w:val="21"/>
                <w:szCs w:val="22"/>
                <w:lang w:val="en-US" w:eastAsia="zh-CN" w:bidi="ar-SA"/>
              </w:rPr>
            </w:pPr>
            <w:r>
              <w:rPr>
                <w:rFonts w:hint="default" w:ascii="Times New Roman" w:hAnsi="Times New Roman" w:eastAsia="宋体" w:cs="Times New Roman"/>
                <w:kern w:val="2"/>
                <w:sz w:val="21"/>
                <w:szCs w:val="22"/>
                <w:lang w:val="en-US" w:eastAsia="zh-CN" w:bidi="ar-SA"/>
              </w:rPr>
              <w:t>排污许可证许可排放量（t/a）</w:t>
            </w:r>
          </w:p>
        </w:tc>
        <w:tc>
          <w:tcPr>
            <w:tcW w:w="1192" w:type="pct"/>
            <w:shd w:val="clear" w:color="auto" w:fill="FFFFFF"/>
            <w:vAlign w:val="center"/>
          </w:tcPr>
          <w:p w14:paraId="281F5007">
            <w:pPr>
              <w:widowControl w:val="0"/>
              <w:adjustRightInd/>
              <w:snapToGrid/>
              <w:spacing w:line="240" w:lineRule="auto"/>
              <w:ind w:firstLine="0" w:firstLineChars="0"/>
              <w:jc w:val="center"/>
              <w:rPr>
                <w:rFonts w:hint="default"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highlight w:val="red"/>
                <w:lang w:val="en-US" w:eastAsia="zh-CN" w:bidi="ar-SA"/>
              </w:rPr>
              <w:t>2025年排放总量（t）</w:t>
            </w:r>
          </w:p>
        </w:tc>
      </w:tr>
      <w:tr w14:paraId="3232282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CellMar>
            <w:top w:w="0" w:type="dxa"/>
            <w:left w:w="108" w:type="dxa"/>
            <w:bottom w:w="0" w:type="dxa"/>
            <w:right w:w="108" w:type="dxa"/>
          </w:tblCellMar>
        </w:tblPrEx>
        <w:trPr>
          <w:trHeight w:val="340" w:hRule="atLeast"/>
        </w:trPr>
        <w:tc>
          <w:tcPr>
            <w:tcW w:w="1210" w:type="pct"/>
            <w:vMerge w:val="restart"/>
            <w:shd w:val="clear" w:color="auto" w:fill="FFFFFF"/>
            <w:vAlign w:val="center"/>
          </w:tcPr>
          <w:p w14:paraId="331D44F3">
            <w:pPr>
              <w:widowControl w:val="0"/>
              <w:adjustRightInd/>
              <w:snapToGrid/>
              <w:spacing w:line="240" w:lineRule="auto"/>
              <w:ind w:firstLine="0" w:firstLineChars="0"/>
              <w:jc w:val="center"/>
              <w:rPr>
                <w:rFonts w:hint="default" w:ascii="Times New Roman" w:hAnsi="Times New Roman" w:eastAsia="宋体" w:cs="Times New Roman"/>
                <w:kern w:val="2"/>
                <w:sz w:val="21"/>
                <w:szCs w:val="22"/>
                <w:lang w:val="en-US" w:eastAsia="zh-CN" w:bidi="ar-SA"/>
              </w:rPr>
            </w:pPr>
            <w:r>
              <w:rPr>
                <w:rFonts w:hint="default" w:ascii="Times New Roman" w:hAnsi="Times New Roman" w:eastAsia="宋体" w:cs="Times New Roman"/>
                <w:kern w:val="2"/>
                <w:sz w:val="21"/>
                <w:szCs w:val="22"/>
                <w:lang w:val="en-US" w:eastAsia="zh-CN" w:bidi="ar-SA"/>
              </w:rPr>
              <w:t>废水排放口</w:t>
            </w:r>
          </w:p>
        </w:tc>
        <w:tc>
          <w:tcPr>
            <w:tcW w:w="1098" w:type="pct"/>
            <w:shd w:val="clear" w:color="auto" w:fill="FFFFFF"/>
            <w:vAlign w:val="center"/>
          </w:tcPr>
          <w:p w14:paraId="01E13D7E">
            <w:pPr>
              <w:widowControl w:val="0"/>
              <w:adjustRightInd/>
              <w:snapToGrid/>
              <w:spacing w:line="240" w:lineRule="auto"/>
              <w:ind w:firstLine="0" w:firstLineChars="0"/>
              <w:jc w:val="center"/>
              <w:rPr>
                <w:rFonts w:hint="default" w:ascii="Times New Roman" w:hAnsi="Times New Roman" w:eastAsia="宋体" w:cs="Times New Roman"/>
                <w:kern w:val="2"/>
                <w:sz w:val="21"/>
                <w:szCs w:val="22"/>
                <w:lang w:val="en-US" w:eastAsia="zh-CN" w:bidi="ar-SA"/>
              </w:rPr>
            </w:pPr>
            <w:r>
              <w:rPr>
                <w:rFonts w:hint="default" w:ascii="Times New Roman" w:hAnsi="Times New Roman" w:eastAsia="宋体" w:cs="Times New Roman"/>
                <w:kern w:val="2"/>
                <w:sz w:val="21"/>
                <w:szCs w:val="22"/>
                <w:lang w:val="en-US" w:eastAsia="zh-CN" w:bidi="ar-SA"/>
              </w:rPr>
              <w:t>COD</w:t>
            </w:r>
            <w:r>
              <w:rPr>
                <w:rFonts w:hint="eastAsia" w:ascii="Times New Roman" w:hAnsi="Times New Roman" w:eastAsia="宋体" w:cs="Times New Roman"/>
                <w:kern w:val="2"/>
                <w:sz w:val="21"/>
                <w:szCs w:val="22"/>
                <w:lang w:val="en-US" w:eastAsia="zh-CN" w:bidi="ar-SA"/>
              </w:rPr>
              <w:t>cr</w:t>
            </w:r>
          </w:p>
        </w:tc>
        <w:tc>
          <w:tcPr>
            <w:tcW w:w="1497" w:type="pct"/>
            <w:shd w:val="clear" w:color="auto" w:fill="FFFFFF"/>
            <w:vAlign w:val="center"/>
          </w:tcPr>
          <w:p w14:paraId="20DE2245">
            <w:pPr>
              <w:adjustRightInd w:val="0"/>
              <w:snapToGrid w:val="0"/>
              <w:spacing w:line="240" w:lineRule="auto"/>
              <w:ind w:firstLine="0" w:firstLineChars="0"/>
              <w:jc w:val="center"/>
              <w:rPr>
                <w:rFonts w:hint="default" w:ascii="Times New Roman" w:hAnsi="Times New Roman" w:eastAsia="宋体" w:cs="Times New Roman"/>
                <w:sz w:val="21"/>
                <w:szCs w:val="22"/>
                <w:highlight w:val="none"/>
                <w:lang w:val="en-US" w:eastAsia="zh-CN" w:bidi="ar-SA"/>
              </w:rPr>
            </w:pPr>
            <w:r>
              <w:rPr>
                <w:rFonts w:hint="eastAsia" w:ascii="Times New Roman" w:hAnsi="Times New Roman" w:eastAsia="宋体" w:cs="Times New Roman"/>
                <w:sz w:val="21"/>
                <w:szCs w:val="22"/>
                <w:highlight w:val="none"/>
                <w:lang w:val="en-US" w:eastAsia="zh-CN" w:bidi="ar-SA"/>
              </w:rPr>
              <w:t>17.32</w:t>
            </w:r>
          </w:p>
        </w:tc>
        <w:tc>
          <w:tcPr>
            <w:tcW w:w="1192" w:type="pct"/>
            <w:shd w:val="clear" w:color="auto" w:fill="FFFFFF"/>
            <w:vAlign w:val="center"/>
          </w:tcPr>
          <w:p w14:paraId="27820845">
            <w:pPr>
              <w:adjustRightInd w:val="0"/>
              <w:snapToGrid w:val="0"/>
              <w:spacing w:line="240" w:lineRule="auto"/>
              <w:ind w:firstLine="0" w:firstLineChars="0"/>
              <w:jc w:val="center"/>
              <w:rPr>
                <w:rFonts w:hint="default" w:ascii="Times New Roman" w:hAnsi="Times New Roman" w:eastAsia="宋体" w:cs="Times New Roman"/>
                <w:sz w:val="21"/>
                <w:szCs w:val="22"/>
                <w:lang w:val="en-US" w:eastAsia="zh-CN" w:bidi="ar-SA"/>
              </w:rPr>
            </w:pPr>
            <w:r>
              <w:rPr>
                <w:rFonts w:hint="eastAsia" w:ascii="Times New Roman" w:hAnsi="Times New Roman" w:eastAsia="宋体" w:cs="Times New Roman"/>
                <w:sz w:val="21"/>
                <w:szCs w:val="22"/>
                <w:lang w:val="en-US" w:eastAsia="zh-CN" w:bidi="ar-SA"/>
              </w:rPr>
              <w:t>6.901</w:t>
            </w:r>
          </w:p>
        </w:tc>
      </w:tr>
      <w:tr w14:paraId="53E0C5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CellMar>
            <w:top w:w="0" w:type="dxa"/>
            <w:left w:w="108" w:type="dxa"/>
            <w:bottom w:w="0" w:type="dxa"/>
            <w:right w:w="108" w:type="dxa"/>
          </w:tblCellMar>
        </w:tblPrEx>
        <w:trPr>
          <w:trHeight w:val="340" w:hRule="atLeast"/>
        </w:trPr>
        <w:tc>
          <w:tcPr>
            <w:tcW w:w="1210" w:type="pct"/>
            <w:vMerge w:val="continue"/>
            <w:shd w:val="clear" w:color="auto" w:fill="FFFFFF"/>
            <w:vAlign w:val="center"/>
          </w:tcPr>
          <w:p w14:paraId="0BFB5385">
            <w:pPr>
              <w:widowControl w:val="0"/>
              <w:adjustRightInd/>
              <w:snapToGrid/>
              <w:spacing w:line="240" w:lineRule="auto"/>
              <w:ind w:firstLine="0" w:firstLineChars="0"/>
              <w:jc w:val="center"/>
              <w:rPr>
                <w:rFonts w:hint="default" w:ascii="Times New Roman" w:hAnsi="Times New Roman" w:eastAsia="宋体" w:cs="Times New Roman"/>
                <w:kern w:val="2"/>
                <w:sz w:val="21"/>
                <w:szCs w:val="22"/>
                <w:lang w:val="en-US" w:eastAsia="zh-CN" w:bidi="ar-SA"/>
              </w:rPr>
            </w:pPr>
          </w:p>
        </w:tc>
        <w:tc>
          <w:tcPr>
            <w:tcW w:w="1098" w:type="pct"/>
            <w:shd w:val="clear" w:color="auto" w:fill="FFFFFF"/>
            <w:vAlign w:val="center"/>
          </w:tcPr>
          <w:p w14:paraId="34B49B36">
            <w:pPr>
              <w:widowControl w:val="0"/>
              <w:adjustRightInd/>
              <w:snapToGrid/>
              <w:spacing w:line="240" w:lineRule="auto"/>
              <w:ind w:firstLine="0" w:firstLineChars="0"/>
              <w:jc w:val="center"/>
              <w:rPr>
                <w:rFonts w:hint="default" w:ascii="Times New Roman" w:hAnsi="Times New Roman" w:eastAsia="宋体" w:cs="Times New Roman"/>
                <w:kern w:val="2"/>
                <w:sz w:val="21"/>
                <w:szCs w:val="22"/>
                <w:lang w:val="en-US" w:eastAsia="zh-CN" w:bidi="ar-SA"/>
              </w:rPr>
            </w:pPr>
            <w:r>
              <w:rPr>
                <w:rFonts w:hint="default" w:ascii="Times New Roman" w:hAnsi="Times New Roman" w:eastAsia="宋体" w:cs="Times New Roman"/>
                <w:kern w:val="2"/>
                <w:sz w:val="21"/>
                <w:szCs w:val="22"/>
                <w:lang w:val="en-US" w:eastAsia="zh-CN" w:bidi="ar-SA"/>
              </w:rPr>
              <w:t>氨氮</w:t>
            </w:r>
          </w:p>
        </w:tc>
        <w:tc>
          <w:tcPr>
            <w:tcW w:w="1497" w:type="pct"/>
            <w:shd w:val="clear" w:color="auto" w:fill="FFFFFF"/>
            <w:vAlign w:val="center"/>
          </w:tcPr>
          <w:p w14:paraId="10B4AC9C">
            <w:pPr>
              <w:adjustRightInd w:val="0"/>
              <w:snapToGrid w:val="0"/>
              <w:spacing w:line="240" w:lineRule="auto"/>
              <w:ind w:firstLine="0" w:firstLineChars="0"/>
              <w:jc w:val="center"/>
              <w:rPr>
                <w:rFonts w:hint="default" w:ascii="Times New Roman" w:hAnsi="Times New Roman" w:eastAsia="宋体" w:cs="Times New Roman"/>
                <w:sz w:val="21"/>
                <w:szCs w:val="22"/>
                <w:highlight w:val="none"/>
                <w:lang w:val="en-US" w:eastAsia="zh-CN" w:bidi="ar-SA"/>
              </w:rPr>
            </w:pPr>
            <w:r>
              <w:rPr>
                <w:rFonts w:hint="eastAsia" w:ascii="Times New Roman" w:hAnsi="Times New Roman" w:eastAsia="宋体" w:cs="Times New Roman"/>
                <w:sz w:val="21"/>
                <w:szCs w:val="22"/>
                <w:highlight w:val="none"/>
                <w:lang w:val="en-US" w:eastAsia="zh-CN" w:bidi="ar-SA"/>
              </w:rPr>
              <w:t>0.51</w:t>
            </w:r>
          </w:p>
        </w:tc>
        <w:tc>
          <w:tcPr>
            <w:tcW w:w="1192" w:type="pct"/>
            <w:shd w:val="clear" w:color="auto" w:fill="FFFFFF"/>
            <w:vAlign w:val="center"/>
          </w:tcPr>
          <w:p w14:paraId="79A4ADB9">
            <w:pPr>
              <w:adjustRightInd w:val="0"/>
              <w:snapToGrid w:val="0"/>
              <w:spacing w:line="240" w:lineRule="auto"/>
              <w:ind w:firstLine="0" w:firstLineChars="0"/>
              <w:jc w:val="center"/>
              <w:rPr>
                <w:rFonts w:hint="default" w:ascii="Times New Roman" w:hAnsi="Times New Roman" w:eastAsia="宋体" w:cs="Times New Roman"/>
                <w:sz w:val="21"/>
                <w:szCs w:val="22"/>
                <w:lang w:val="en-US" w:eastAsia="zh-CN" w:bidi="ar-SA"/>
              </w:rPr>
            </w:pPr>
            <w:r>
              <w:rPr>
                <w:rFonts w:hint="eastAsia" w:ascii="Times New Roman" w:hAnsi="Times New Roman" w:eastAsia="宋体" w:cs="Times New Roman"/>
                <w:sz w:val="21"/>
                <w:szCs w:val="22"/>
                <w:lang w:val="en-US" w:eastAsia="zh-CN" w:bidi="ar-SA"/>
              </w:rPr>
              <w:t>0.057</w:t>
            </w:r>
          </w:p>
        </w:tc>
      </w:tr>
      <w:tr w14:paraId="3BABDF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FFFFFF"/>
          <w:tblCellMar>
            <w:top w:w="0" w:type="dxa"/>
            <w:left w:w="108" w:type="dxa"/>
            <w:bottom w:w="0" w:type="dxa"/>
            <w:right w:w="108" w:type="dxa"/>
          </w:tblCellMar>
        </w:tblPrEx>
        <w:trPr>
          <w:trHeight w:val="340" w:hRule="atLeast"/>
        </w:trPr>
        <w:tc>
          <w:tcPr>
            <w:tcW w:w="1210" w:type="pct"/>
            <w:shd w:val="clear" w:color="auto" w:fill="FFFFFF"/>
            <w:vAlign w:val="center"/>
          </w:tcPr>
          <w:p w14:paraId="43F70BCE">
            <w:pPr>
              <w:widowControl w:val="0"/>
              <w:adjustRightInd/>
              <w:snapToGrid/>
              <w:spacing w:line="240" w:lineRule="auto"/>
              <w:ind w:firstLine="0" w:firstLineChars="0"/>
              <w:jc w:val="center"/>
              <w:rPr>
                <w:rFonts w:hint="default"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废气排放口</w:t>
            </w:r>
          </w:p>
        </w:tc>
        <w:tc>
          <w:tcPr>
            <w:tcW w:w="1098" w:type="pct"/>
            <w:shd w:val="clear" w:color="auto" w:fill="FFFFFF"/>
            <w:vAlign w:val="center"/>
          </w:tcPr>
          <w:p w14:paraId="25BB92E3">
            <w:pPr>
              <w:widowControl w:val="0"/>
              <w:adjustRightInd/>
              <w:snapToGrid/>
              <w:spacing w:line="240" w:lineRule="auto"/>
              <w:ind w:firstLine="0" w:firstLineChars="0"/>
              <w:jc w:val="center"/>
              <w:rPr>
                <w:rFonts w:hint="default" w:ascii="Times New Roman" w:hAnsi="Times New Roman" w:eastAsia="宋体" w:cs="Times New Roman"/>
                <w:kern w:val="2"/>
                <w:sz w:val="21"/>
                <w:szCs w:val="22"/>
                <w:lang w:val="en-US" w:eastAsia="zh-CN" w:bidi="ar-SA"/>
              </w:rPr>
            </w:pPr>
            <w:r>
              <w:rPr>
                <w:rFonts w:hint="eastAsia" w:ascii="Times New Roman" w:hAnsi="Times New Roman" w:eastAsia="宋体" w:cs="Times New Roman"/>
                <w:kern w:val="2"/>
                <w:sz w:val="21"/>
                <w:szCs w:val="22"/>
                <w:lang w:val="en-US" w:eastAsia="zh-CN" w:bidi="ar-SA"/>
              </w:rPr>
              <w:t>VOCs</w:t>
            </w:r>
          </w:p>
        </w:tc>
        <w:tc>
          <w:tcPr>
            <w:tcW w:w="1497" w:type="pct"/>
            <w:shd w:val="clear" w:color="auto" w:fill="FFFFFF"/>
            <w:vAlign w:val="center"/>
          </w:tcPr>
          <w:p w14:paraId="1E7F8A8F">
            <w:pPr>
              <w:adjustRightInd w:val="0"/>
              <w:snapToGrid w:val="0"/>
              <w:spacing w:line="240" w:lineRule="auto"/>
              <w:ind w:firstLine="0" w:firstLineChars="0"/>
              <w:jc w:val="center"/>
              <w:rPr>
                <w:rFonts w:hint="default" w:ascii="Times New Roman" w:hAnsi="Times New Roman" w:eastAsia="宋体" w:cs="Times New Roman"/>
                <w:sz w:val="21"/>
                <w:szCs w:val="22"/>
                <w:lang w:val="en-US" w:eastAsia="zh-CN" w:bidi="ar-SA"/>
              </w:rPr>
            </w:pPr>
            <w:r>
              <w:rPr>
                <w:rFonts w:hint="eastAsia" w:ascii="Times New Roman" w:hAnsi="Times New Roman" w:eastAsia="宋体" w:cs="Times New Roman"/>
                <w:sz w:val="21"/>
                <w:szCs w:val="22"/>
                <w:lang w:val="en-US" w:eastAsia="zh-CN" w:bidi="ar-SA"/>
              </w:rPr>
              <w:t>2.282</w:t>
            </w:r>
          </w:p>
        </w:tc>
        <w:tc>
          <w:tcPr>
            <w:tcW w:w="1192" w:type="pct"/>
            <w:shd w:val="clear" w:color="auto" w:fill="FFFFFF"/>
            <w:vAlign w:val="center"/>
          </w:tcPr>
          <w:p w14:paraId="59BA6A31">
            <w:pPr>
              <w:adjustRightInd w:val="0"/>
              <w:snapToGrid w:val="0"/>
              <w:spacing w:line="240" w:lineRule="auto"/>
              <w:ind w:firstLine="0" w:firstLineChars="0"/>
              <w:jc w:val="center"/>
              <w:rPr>
                <w:rFonts w:hint="default" w:ascii="Times New Roman" w:hAnsi="Times New Roman" w:eastAsia="宋体" w:cs="Times New Roman"/>
                <w:sz w:val="21"/>
                <w:szCs w:val="22"/>
                <w:lang w:val="en-US" w:eastAsia="zh-CN" w:bidi="ar-SA"/>
              </w:rPr>
            </w:pPr>
            <w:r>
              <w:rPr>
                <w:rFonts w:hint="eastAsia" w:ascii="Times New Roman" w:hAnsi="Times New Roman" w:eastAsia="宋体" w:cs="Times New Roman"/>
                <w:sz w:val="21"/>
                <w:szCs w:val="22"/>
                <w:lang w:val="en-US" w:eastAsia="zh-CN" w:bidi="ar-SA"/>
              </w:rPr>
              <w:t>1.224</w:t>
            </w:r>
          </w:p>
        </w:tc>
      </w:tr>
    </w:tbl>
    <w:p w14:paraId="46BBA8F7">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b/>
          <w:bCs/>
          <w:sz w:val="24"/>
          <w:szCs w:val="24"/>
        </w:rPr>
      </w:pPr>
      <w:r>
        <w:rPr>
          <w:rFonts w:hint="eastAsia" w:ascii="Times New Roman" w:hAnsi="Times New Roman" w:eastAsia="宋体" w:cs="Times New Roman"/>
          <w:b/>
          <w:bCs/>
          <w:kern w:val="2"/>
          <w:sz w:val="24"/>
          <w:szCs w:val="24"/>
          <w:lang w:val="en-US" w:eastAsia="zh-CN" w:bidi="ar-SA"/>
        </w:rPr>
        <w:t>四、</w:t>
      </w:r>
      <w:r>
        <w:rPr>
          <w:rFonts w:hint="default" w:ascii="Times New Roman" w:hAnsi="Times New Roman" w:eastAsia="宋体" w:cs="Times New Roman"/>
          <w:b/>
          <w:bCs/>
          <w:sz w:val="24"/>
          <w:szCs w:val="24"/>
        </w:rPr>
        <w:t>公示时间及联系方式</w:t>
      </w:r>
    </w:p>
    <w:p w14:paraId="3B623E1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lang w:val="en-US" w:eastAsia="zh-CN"/>
        </w:rPr>
        <w:t>1.</w:t>
      </w:r>
      <w:r>
        <w:rPr>
          <w:rFonts w:hint="default" w:ascii="Times New Roman" w:hAnsi="Times New Roman" w:eastAsia="宋体" w:cs="Times New Roman"/>
          <w:sz w:val="24"/>
          <w:szCs w:val="24"/>
        </w:rPr>
        <w:t>公示时间</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2026年</w:t>
      </w:r>
      <w:r>
        <w:rPr>
          <w:rFonts w:hint="eastAsia" w:ascii="Times New Roman" w:hAnsi="Times New Roman" w:eastAsia="宋体" w:cs="Times New Roman"/>
          <w:sz w:val="24"/>
          <w:szCs w:val="24"/>
          <w:lang w:val="en-US" w:eastAsia="zh-CN"/>
        </w:rPr>
        <w:t>8</w:t>
      </w:r>
      <w:r>
        <w:rPr>
          <w:rFonts w:hint="default"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11</w:t>
      </w:r>
      <w:r>
        <w:rPr>
          <w:rFonts w:hint="default" w:ascii="Times New Roman" w:hAnsi="Times New Roman" w:eastAsia="宋体" w:cs="Times New Roman"/>
          <w:sz w:val="24"/>
          <w:szCs w:val="24"/>
        </w:rPr>
        <w:t>日-2026年</w:t>
      </w:r>
      <w:r>
        <w:rPr>
          <w:rFonts w:hint="eastAsia" w:ascii="Times New Roman" w:hAnsi="Times New Roman" w:eastAsia="宋体" w:cs="Times New Roman"/>
          <w:sz w:val="24"/>
          <w:szCs w:val="24"/>
          <w:lang w:val="en-US" w:eastAsia="zh-CN"/>
        </w:rPr>
        <w:t>8</w:t>
      </w:r>
      <w:r>
        <w:rPr>
          <w:rFonts w:hint="default"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24</w:t>
      </w:r>
      <w:r>
        <w:rPr>
          <w:rFonts w:hint="default" w:ascii="Times New Roman" w:hAnsi="Times New Roman" w:eastAsia="宋体" w:cs="Times New Roman"/>
          <w:sz w:val="24"/>
          <w:szCs w:val="24"/>
        </w:rPr>
        <w:t>日</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共</w:t>
      </w:r>
      <w:r>
        <w:rPr>
          <w:rFonts w:hint="eastAsia" w:ascii="Times New Roman" w:hAnsi="Times New Roman" w:eastAsia="宋体" w:cs="Times New Roman"/>
          <w:sz w:val="24"/>
          <w:szCs w:val="24"/>
          <w:lang w:val="en-US" w:eastAsia="zh-CN"/>
        </w:rPr>
        <w:t>10</w:t>
      </w:r>
      <w:r>
        <w:rPr>
          <w:rFonts w:hint="default" w:ascii="Times New Roman" w:hAnsi="Times New Roman" w:eastAsia="宋体" w:cs="Times New Roman"/>
          <w:sz w:val="24"/>
          <w:szCs w:val="24"/>
        </w:rPr>
        <w:t>个工作日</w:t>
      </w:r>
      <w:r>
        <w:rPr>
          <w:rFonts w:hint="default" w:ascii="Times New Roman" w:hAnsi="Times New Roman" w:eastAsia="宋体" w:cs="Times New Roman"/>
          <w:sz w:val="24"/>
          <w:szCs w:val="24"/>
          <w:lang w:eastAsia="zh-CN"/>
        </w:rPr>
        <w:t>）</w:t>
      </w:r>
    </w:p>
    <w:p w14:paraId="590DCDC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2.联系方式</w:t>
      </w: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lang w:val="en-US" w:eastAsia="zh-CN"/>
        </w:rPr>
        <w:t>龙艳楠13532107080</w:t>
      </w:r>
    </w:p>
    <w:p w14:paraId="751A2190">
      <w:pPr>
        <w:keepNext w:val="0"/>
        <w:keepLines w:val="0"/>
        <w:pageBreakBefore w:val="0"/>
        <w:widowControl w:val="0"/>
        <w:kinsoku/>
        <w:wordWrap/>
        <w:overflowPunct/>
        <w:topLinePunct w:val="0"/>
        <w:autoSpaceDE/>
        <w:autoSpaceDN/>
        <w:bidi w:val="0"/>
        <w:adjustRightInd/>
        <w:snapToGrid/>
        <w:spacing w:line="360" w:lineRule="auto"/>
        <w:ind w:firstLine="5040" w:firstLineChars="2100"/>
        <w:textAlignment w:val="auto"/>
        <w:rPr>
          <w:rFonts w:hint="default" w:ascii="Times New Roman" w:hAnsi="Times New Roman" w:eastAsia="宋体" w:cs="Times New Roman"/>
          <w:sz w:val="24"/>
          <w:szCs w:val="24"/>
        </w:rPr>
      </w:pPr>
    </w:p>
    <w:p w14:paraId="023BBBA2">
      <w:pPr>
        <w:keepNext w:val="0"/>
        <w:keepLines w:val="0"/>
        <w:pageBreakBefore w:val="0"/>
        <w:widowControl w:val="0"/>
        <w:kinsoku/>
        <w:wordWrap/>
        <w:overflowPunct/>
        <w:topLinePunct w:val="0"/>
        <w:autoSpaceDE/>
        <w:autoSpaceDN/>
        <w:bidi w:val="0"/>
        <w:adjustRightInd/>
        <w:snapToGrid/>
        <w:spacing w:line="360" w:lineRule="auto"/>
        <w:ind w:firstLine="5040" w:firstLineChars="2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2026年</w:t>
      </w:r>
      <w:r>
        <w:rPr>
          <w:rFonts w:hint="eastAsia" w:ascii="Times New Roman" w:hAnsi="Times New Roman" w:eastAsia="宋体" w:cs="Times New Roman"/>
          <w:sz w:val="24"/>
          <w:szCs w:val="24"/>
          <w:lang w:val="en-US" w:eastAsia="zh-CN"/>
        </w:rPr>
        <w:t>8</w:t>
      </w:r>
      <w:r>
        <w:rPr>
          <w:rFonts w:hint="default" w:ascii="Times New Roman" w:hAnsi="Times New Roman" w:eastAsia="宋体" w:cs="Times New Roman"/>
          <w:sz w:val="24"/>
          <w:szCs w:val="24"/>
        </w:rPr>
        <w:t>月</w:t>
      </w:r>
      <w:r>
        <w:rPr>
          <w:rFonts w:hint="eastAsia" w:ascii="Times New Roman" w:hAnsi="Times New Roman" w:eastAsia="宋体" w:cs="Times New Roman"/>
          <w:sz w:val="24"/>
          <w:szCs w:val="24"/>
          <w:lang w:val="en-US" w:eastAsia="zh-CN"/>
        </w:rPr>
        <w:t>11</w:t>
      </w:r>
      <w:r>
        <w:rPr>
          <w:rFonts w:hint="default" w:ascii="Times New Roman" w:hAnsi="Times New Roman" w:eastAsia="宋体" w:cs="Times New Roman"/>
          <w:sz w:val="24"/>
          <w:szCs w:val="24"/>
        </w:rPr>
        <w:t>日</w:t>
      </w:r>
    </w:p>
    <w:p w14:paraId="54241B95">
      <w:pPr>
        <w:rPr>
          <w:rFonts w:hint="default" w:ascii="Times New Roman" w:hAnsi="Times New Roman" w:eastAsia="宋体" w:cs="Times New Roman"/>
        </w:rPr>
      </w:pPr>
      <w:bookmarkStart w:id="7" w:name="_GoBack"/>
      <w:bookmarkEnd w:id="7"/>
    </w:p>
    <w:sectPr>
      <w:pgSz w:w="11906" w:h="16838"/>
      <w:pgMar w:top="1417" w:right="1417" w:bottom="1417"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8A6F0F"/>
    <w:multiLevelType w:val="singleLevel"/>
    <w:tmpl w:val="8D8A6F0F"/>
    <w:lvl w:ilvl="0" w:tentative="0">
      <w:start w:val="1"/>
      <w:numFmt w:val="decimal"/>
      <w:suff w:val="nothing"/>
      <w:lvlText w:val="（%1）"/>
      <w:lvlJc w:val="left"/>
    </w:lvl>
  </w:abstractNum>
  <w:abstractNum w:abstractNumId="1">
    <w:nsid w:val="461574B0"/>
    <w:multiLevelType w:val="singleLevel"/>
    <w:tmpl w:val="461574B0"/>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770C41"/>
    <w:rsid w:val="24344E17"/>
    <w:rsid w:val="2E756C3F"/>
    <w:rsid w:val="334B30C5"/>
    <w:rsid w:val="367B402B"/>
    <w:rsid w:val="3CE25E46"/>
    <w:rsid w:val="52EF53F0"/>
    <w:rsid w:val="53B25492"/>
    <w:rsid w:val="69774720"/>
    <w:rsid w:val="6CC1090D"/>
    <w:rsid w:val="6D35295E"/>
    <w:rsid w:val="714101D5"/>
    <w:rsid w:val="714D1FB7"/>
    <w:rsid w:val="7B1855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9"/>
    <w:pPr>
      <w:keepNext/>
      <w:keepLines/>
      <w:ind w:firstLine="0" w:firstLineChars="0"/>
      <w:outlineLvl w:val="1"/>
    </w:pPr>
    <w:rPr>
      <w:rFonts w:cstheme="majorBidi"/>
      <w:b/>
      <w:bCs/>
      <w:sz w:val="28"/>
      <w:szCs w:val="32"/>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table" w:styleId="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7">
    <w:name w:val="【正文】"/>
    <w:basedOn w:val="1"/>
    <w:qFormat/>
    <w:uiPriority w:val="0"/>
    <w:pPr>
      <w:widowControl w:val="0"/>
      <w:adjustRightInd/>
      <w:snapToGrid/>
    </w:pPr>
    <w:rPr>
      <w:rFonts w:eastAsiaTheme="minorEastAsia" w:cstheme="minorBidi"/>
      <w:kern w:val="2"/>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2168</Words>
  <Characters>2645</Characters>
  <Lines>0</Lines>
  <Paragraphs>0</Paragraphs>
  <TotalTime>5</TotalTime>
  <ScaleCrop>false</ScaleCrop>
  <LinksUpToDate>false</LinksUpToDate>
  <CharactersWithSpaces>2654</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2026-04-22T07:20:00Z</dcterms:created>
  <dc:creator>10618</dc:creator>
  <cp:lastModifiedBy>biu特否</cp:lastModifiedBy>
  <dcterms:modified xsi:type="dcterms:W3CDTF">2026-08-12T00:36:51Z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KSOTemplateDocerSaveRecord">
    <vt:lpwstr>eyJoZGlkIjoiNmJkMjkyMmQ3Yzk5MGE3ZTdjMmJlMGZkZDQzYmY4NDUiLCJ1c2VySWQiOiI1MjUwMTkyNzgifQ==</vt:lpwstr>
  </property>
  <property fmtid="{D5CDD505-2E9C-101B-9397-08002B2CF9AE}" pid="4" name="ICV">
    <vt:lpwstr>31FAE9399E264E4FAEE8B3D03A787B35_13</vt:lpwstr>
  </property>
</Properties>
</file>